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原住民族社團計畫注意事項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申請檢附文件: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25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114年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計畫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(核章版及word檔)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，電子檔請務必確認有無漏頁、掃描清楚、方向轉正，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檔名及信箱主旨請註明:學校全銜_申請原住民族社團，並請在信件中留承辦人(可聯絡到的)電話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申請方式&lt;請向所屬機關申請&gt;: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教育部主管之學校: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自111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學年起，申請方式改由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電子申請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請將申請文件email至游小姐信箱，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毋須再郵寄紙本文件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縣市政府所屬學校: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請依據所屬縣市政府(教育局/處)之公文規定申請，由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政府彙整申請資料後送本校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。(如縣市政府規定需紙本，請依公文規定數量寄至所屬教育局/處)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縣市政府: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請協助彙整各校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電子檔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後送本校，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本校僅收電子檔即可，不需紙本。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請給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最終版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檔案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，修正前檔案不需繳交，以免混淆。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以每校一個資料夾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方式，不需編號，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壓縮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傳送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email或使用雲端共享皆可，若以雲端共用方式，請將共用設定改為「知道連結的任何人」，以利本校、國教署及委員查看，請協助檢視各校資料是否繳交齊全，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並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請填寫「計畫繳交檢核表」檔案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，併同各校資料email至aborigines@cyhs.tc.edu.tw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本計畫申請表已有修正，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請使用官網公告之新表，勿沿用舊格式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本計畫需辦理與原住民族相關之社團，需符合本要點第五點所列之活動為主，若單純因原住民籍學生身分所設立之社團，例:棒球社、拳擊社等，將不予以補助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補充保費需單獨編列，勿含在鐘點費內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經費表之說明欄內容，請填寫實際用途說明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(需詳列購買項目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/物品名稱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，不可貼上範例文字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各經費項目以表定現有項目為主，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勿自行新增或修改經費項目名稱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未編列的項目可自行刪除空白列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膳宿費分開編列，勿加在一起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不同單價數量的項目皆需分開編列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在第五項課程內容中，課程編列節數與經費需一致，未請領的鐘點費節數可寫0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核定金額以千元為單位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有關本計畫各項經費項目說明如下，請依規編列:</w:t>
      </w:r>
    </w:p>
    <w:tbl>
      <w:tblPr>
        <w:tblStyle w:val="Table1"/>
        <w:tblW w:w="10466.0" w:type="dxa"/>
        <w:jc w:val="center"/>
        <w:tblBorders>
          <w:top w:color="000001" w:space="0" w:sz="12" w:val="single"/>
          <w:left w:color="000001" w:space="0" w:sz="12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2415"/>
        <w:gridCol w:w="1127"/>
        <w:gridCol w:w="6924"/>
        <w:tblGridChange w:id="0">
          <w:tblGrid>
            <w:gridCol w:w="2415"/>
            <w:gridCol w:w="1127"/>
            <w:gridCol w:w="6924"/>
          </w:tblGrid>
        </w:tblGridChange>
      </w:tblGrid>
      <w:tr>
        <w:trPr>
          <w:cantSplit w:val="0"/>
          <w:trHeight w:val="480" w:hRule="atLeast"/>
          <w:tblHeader w:val="1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經費項目</w:t>
            </w:r>
          </w:p>
        </w:tc>
        <w:tc>
          <w:tcPr>
            <w:tcBorders>
              <w:top w:color="000001" w:space="0" w:sz="12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1" w:space="0" w:sz="12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(請填寫實際用途說明於計畫書內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，勿直接貼範例文字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鐘點費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人節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1.依據「公立中小學兼任及代課教師鐘點費支給基準」規定，高級中等學校每節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元、國民中學每節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378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元、國民小學每節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2.有關第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節課後、周末、寒暑假之授課鐘點費: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高级中等學校:依據「高级中等學校課業輔導實施要點」,每節550元；國民中小學:依據「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教育部國民及學前教育署補助辦理國民小學及國民中學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學生學習扶助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作業要點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」，國民中學每節450元，國民小學每節400元。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3.請於本說明欄備註授課時間為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課間或課餘，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及鐘點費之性質(如:開班授課、研習、座談或訓練進修)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，並列出計算式，例如:課間420元*15節=6300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4.若確有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highlight w:val="white"/>
                <w:rtl w:val="0"/>
              </w:rPr>
              <w:t xml:space="preserve">2名指導教師之需求，請說明必要性。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highlight w:val="white"/>
                <w:rtl w:val="0"/>
              </w:rPr>
              <w:t xml:space="preserve">5.若有協同助教，請說明必要性，並減半編列鐘點費。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講座鐘點費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人節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註:講座鐘點費請依「軍公教人員兼職費及講座鐘點費支給規定」辦理，外聘專家學者支給上限2,000元、有隸屬之外聘人員1,500元、內聘人員支給上限1,000元。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請於本說明欄備註內聘或外聘，非講座鐘點性質之課程需以鐘點費編列。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二代健康保險補充保費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註:請填寫算式說明:鐘點費*0.0211</w:t>
            </w:r>
          </w:p>
        </w:tc>
      </w:tr>
      <w:tr>
        <w:trPr>
          <w:cantSplit w:val="0"/>
          <w:trHeight w:val="2359.9999999999995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人次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1.國內旅費:依「國內出差旅費報支要點」辦理。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2.短程車資:單趟上限250元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(不補助計程車)。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3.租車費:單趟8000-1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000元為原則。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膳費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人日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註:依教育部及所屬機關(構)辦理各類會議講習訓練與研討（習）會管理要點辦理，請依活動實際執行情形編列。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*非用餐時段不可編列、無補助點心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午、晚餐請於單價100元內編列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辦理半日者：每人膳費上限1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0元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.辦理1日者：每人每日膳費為240元(無供應早餐)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.辦理1日以上者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(之第2天)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：每人每日膳費為300元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人日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住宿費依據國內出差旅費報支要點規定辦理，上限1600元。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原住民族傳統服裝費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件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註:此項經費請以教學為目的，非為一次性活動表演參賽而編列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，建議納入課程活動內容中，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並以計畫總額1/3內為原則。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*需註記已購買數量及第幾次購買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材料費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上課用耗材等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勿以一式編列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不補助非消耗性之器材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，如鼓、弓、刀具、木琴、各式樂器等。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*以總經費20%為上限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印刷費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勿以一式編列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場地使用費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註:請核實編列，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不補助內部場地、冷氣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費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、門票等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雜支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註:包含文具用品、紙張、資訊耗材、資料夾、郵資等，以計畫總額10%內為原則，超過需簡略說明原因。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*不包含保險費、門票、冷氣費、電費、租衣、洗衣費、場地布置費等非屬雜支項目，勿自行列入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註:核定金額將以千元為單位核給。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(%2)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