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4C" w:rsidRDefault="00F77EC8">
      <w:pPr>
        <w:pStyle w:val="Standard"/>
        <w:overflowPunct w:val="0"/>
        <w:spacing w:line="480" w:lineRule="exact"/>
        <w:ind w:left="1080" w:hanging="1080"/>
        <w:jc w:val="center"/>
        <w:rPr>
          <w:rFonts w:ascii="標楷體" w:eastAsia="標楷體" w:hAnsi="標楷體" w:cs="標楷體"/>
          <w:sz w:val="36"/>
          <w:szCs w:val="36"/>
        </w:rPr>
      </w:pPr>
      <w:r>
        <w:rPr>
          <w:rFonts w:ascii="標楷體" w:eastAsia="標楷體" w:hAnsi="標楷體" w:cs="標楷體"/>
          <w:sz w:val="36"/>
          <w:szCs w:val="36"/>
        </w:rPr>
        <w:t>僑生回國就學及輔導辦法第三條、第二十三條之一</w:t>
      </w:r>
    </w:p>
    <w:p w:rsidR="00C42E4C" w:rsidRDefault="00F77EC8">
      <w:pPr>
        <w:pStyle w:val="Standard"/>
        <w:spacing w:line="480" w:lineRule="exact"/>
        <w:ind w:left="1080" w:hanging="1080"/>
        <w:jc w:val="center"/>
        <w:rPr>
          <w:rFonts w:ascii="標楷體" w:eastAsia="標楷體" w:hAnsi="標楷體" w:cs="標楷體"/>
          <w:sz w:val="36"/>
          <w:szCs w:val="36"/>
        </w:rPr>
      </w:pPr>
      <w:r>
        <w:rPr>
          <w:rFonts w:ascii="標楷體" w:eastAsia="標楷體" w:hAnsi="標楷體" w:cs="標楷體"/>
          <w:sz w:val="36"/>
          <w:szCs w:val="36"/>
        </w:rPr>
        <w:t>修正條文</w:t>
      </w:r>
    </w:p>
    <w:p w:rsidR="00C42E4C" w:rsidRDefault="00F77EC8">
      <w:pPr>
        <w:pStyle w:val="Standard"/>
        <w:spacing w:line="480" w:lineRule="exact"/>
        <w:ind w:left="840" w:hanging="840"/>
        <w:rPr>
          <w:rFonts w:ascii="標楷體" w:eastAsia="標楷體" w:hAnsi="標楷體" w:cs="標楷體"/>
          <w:sz w:val="28"/>
          <w:szCs w:val="28"/>
        </w:rPr>
      </w:pPr>
      <w:r>
        <w:rPr>
          <w:rFonts w:ascii="標楷體" w:eastAsia="標楷體" w:hAnsi="標楷體" w:cs="標楷體"/>
          <w:sz w:val="28"/>
          <w:szCs w:val="28"/>
        </w:rPr>
        <w:t>第三條　　前條第一項所稱海外，指大陸地區、香港及澳門以外之國家或地區。</w:t>
      </w:r>
    </w:p>
    <w:p w:rsidR="00C42E4C" w:rsidRDefault="00F77EC8">
      <w:pPr>
        <w:pStyle w:val="Standard"/>
        <w:spacing w:line="480" w:lineRule="exact"/>
        <w:ind w:left="864" w:firstLine="560"/>
        <w:rPr>
          <w:rFonts w:ascii="標楷體" w:eastAsia="標楷體" w:hAnsi="標楷體" w:cs="標楷體"/>
          <w:sz w:val="28"/>
          <w:szCs w:val="28"/>
        </w:rPr>
      </w:pPr>
      <w:r>
        <w:rPr>
          <w:rFonts w:ascii="標楷體" w:eastAsia="標楷體" w:hAnsi="標楷體" w:cs="標楷體"/>
          <w:sz w:val="28"/>
          <w:szCs w:val="28"/>
        </w:rPr>
        <w:t>前條第一項所稱連續居留，指華裔學生每曆年在國內停留期間未逾一百二十日。連續居留海外採計期間之起迄年度非屬完整曆年者，以各該年度之採計期間內在國內停留期間未逾一百二十日予以認定。但符合下列情形之一者，不在此限；其在國內停留期間不併入海外居留期間計算：</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一、就讀僑務主管機關舉辦之海外青年技術訓練班或中央主管教育行政機關認定之技術訓練專班。</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二、參加僑務主管機關主辦或其認定屬政府機關舉辦之活動，或就讀主管機關核准境外招生之華語教育機構開設之華語文研習課程，其活動或研習期間合計未滿二年。</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三、交換學生，其交換期間合計未滿二年。</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四、經中央目的事業主管機關許可來臺實習，實習期間合計未滿二年。</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五、回國接受兵役徵召及服役。</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六、因戰亂、天災或大規模傳染病，致無法返回僑居地。</w:t>
      </w:r>
    </w:p>
    <w:p w:rsidR="00C42E4C" w:rsidRDefault="00F77EC8">
      <w:pPr>
        <w:pStyle w:val="Standard"/>
        <w:spacing w:line="480" w:lineRule="exact"/>
        <w:ind w:left="2000" w:hanging="560"/>
        <w:rPr>
          <w:rFonts w:ascii="標楷體" w:eastAsia="標楷體" w:hAnsi="標楷體" w:cs="標楷體"/>
          <w:sz w:val="28"/>
          <w:szCs w:val="28"/>
        </w:rPr>
      </w:pPr>
      <w:r>
        <w:rPr>
          <w:rFonts w:ascii="標楷體" w:eastAsia="標楷體" w:hAnsi="標楷體" w:cs="標楷體"/>
          <w:sz w:val="28"/>
          <w:szCs w:val="28"/>
        </w:rPr>
        <w:t>七、因其他不可歸責於僑生之事由，致無法返回僑居地，有證明文件。</w:t>
      </w:r>
    </w:p>
    <w:p w:rsidR="00C42E4C" w:rsidRDefault="00F77EC8">
      <w:pPr>
        <w:pStyle w:val="Standard"/>
        <w:spacing w:line="480" w:lineRule="exact"/>
        <w:ind w:left="864" w:firstLine="560"/>
        <w:rPr>
          <w:rFonts w:ascii="標楷體" w:eastAsia="標楷體" w:hAnsi="標楷體" w:cs="標楷體"/>
          <w:sz w:val="28"/>
          <w:szCs w:val="28"/>
        </w:rPr>
      </w:pPr>
      <w:r>
        <w:rPr>
          <w:rFonts w:ascii="標楷體" w:eastAsia="標楷體" w:hAnsi="標楷體" w:cs="標楷體"/>
          <w:sz w:val="28"/>
          <w:szCs w:val="28"/>
        </w:rPr>
        <w:t>前條第一項所定取得僑居地</w:t>
      </w:r>
      <w:r>
        <w:rPr>
          <w:rFonts w:ascii="標楷體" w:eastAsia="標楷體" w:hAnsi="標楷體" w:cs="標楷體"/>
          <w:sz w:val="28"/>
          <w:szCs w:val="28"/>
        </w:rPr>
        <w:t>永久或長期居留證件，得以取得僑居地公民權、永久居留權或以其所持中華民國護照已加簽僑居身分認定之。</w:t>
      </w:r>
    </w:p>
    <w:p w:rsidR="00C42E4C" w:rsidRDefault="00F77EC8">
      <w:pPr>
        <w:pStyle w:val="Standard"/>
        <w:spacing w:line="480" w:lineRule="exact"/>
        <w:ind w:left="1960" w:hanging="1960"/>
        <w:rPr>
          <w:rFonts w:ascii="標楷體" w:eastAsia="標楷體" w:hAnsi="標楷體" w:cs="標楷體"/>
          <w:sz w:val="28"/>
          <w:szCs w:val="28"/>
        </w:rPr>
      </w:pPr>
      <w:r>
        <w:rPr>
          <w:rFonts w:ascii="標楷體" w:eastAsia="標楷體" w:hAnsi="標楷體" w:cs="標楷體"/>
          <w:sz w:val="28"/>
          <w:szCs w:val="28"/>
        </w:rPr>
        <w:t>第二十三條之一　　具外國國籍，兼具香港或澳門永久居留資格，未曾在臺設有戶籍，且最近連續居留香港、澳門或海外六年以上之華裔學生申請入學大學校院，於相關法律修正施行前，其就學及輔導得準用本辦法規</w:t>
      </w:r>
      <w:r>
        <w:rPr>
          <w:rFonts w:ascii="標楷體" w:eastAsia="標楷體" w:hAnsi="標楷體" w:cs="標楷體"/>
          <w:sz w:val="28"/>
          <w:szCs w:val="28"/>
        </w:rPr>
        <w:lastRenderedPageBreak/>
        <w:t>定。但就讀大學醫學、牙醫或中醫學系者，其連續居留年限為八年以上。</w:t>
      </w:r>
    </w:p>
    <w:sectPr w:rsidR="00C42E4C" w:rsidSect="00C42E4C">
      <w:pgSz w:w="11906" w:h="16838"/>
      <w:pgMar w:top="1440" w:right="1797" w:bottom="1440" w:left="1797"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EC8" w:rsidRDefault="00F77EC8" w:rsidP="00C42E4C">
      <w:r>
        <w:separator/>
      </w:r>
    </w:p>
  </w:endnote>
  <w:endnote w:type="continuationSeparator" w:id="0">
    <w:p w:rsidR="00F77EC8" w:rsidRDefault="00F77EC8" w:rsidP="00C42E4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PMingLiU">
    <w:charset w:val="00"/>
    <w:family w:val="roman"/>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EC8" w:rsidRDefault="00F77EC8" w:rsidP="00C42E4C">
      <w:r w:rsidRPr="00C42E4C">
        <w:rPr>
          <w:color w:val="000000"/>
        </w:rPr>
        <w:separator/>
      </w:r>
    </w:p>
  </w:footnote>
  <w:footnote w:type="continuationSeparator" w:id="0">
    <w:p w:rsidR="00F77EC8" w:rsidRDefault="00F77EC8" w:rsidP="00C42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42E4C"/>
    <w:rsid w:val="00230C53"/>
    <w:rsid w:val="00C42E4C"/>
    <w:rsid w:val="00F77E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42E4C"/>
    <w:rPr>
      <w:rFonts w:ascii="Calibri" w:eastAsia="新細明體, PMingLiU" w:hAnsi="Calibri" w:cs="Times New Roman"/>
      <w:szCs w:val="22"/>
      <w:lang w:bidi="ar-SA"/>
    </w:rPr>
  </w:style>
  <w:style w:type="paragraph" w:customStyle="1" w:styleId="Heading">
    <w:name w:val="Heading"/>
    <w:basedOn w:val="Standard"/>
    <w:next w:val="Textbody"/>
    <w:rsid w:val="00C42E4C"/>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C42E4C"/>
    <w:pPr>
      <w:spacing w:after="140" w:line="288" w:lineRule="auto"/>
    </w:pPr>
  </w:style>
  <w:style w:type="paragraph" w:styleId="a3">
    <w:name w:val="List"/>
    <w:basedOn w:val="Textbody"/>
    <w:rsid w:val="00C42E4C"/>
    <w:rPr>
      <w:rFonts w:cs="Mangal"/>
    </w:rPr>
  </w:style>
  <w:style w:type="paragraph" w:customStyle="1" w:styleId="Caption">
    <w:name w:val="Caption"/>
    <w:basedOn w:val="Standard"/>
    <w:rsid w:val="00C42E4C"/>
    <w:pPr>
      <w:suppressLineNumbers/>
      <w:spacing w:before="120" w:after="120"/>
    </w:pPr>
    <w:rPr>
      <w:rFonts w:cs="Mangal"/>
      <w:i/>
      <w:iCs/>
      <w:szCs w:val="24"/>
    </w:rPr>
  </w:style>
  <w:style w:type="paragraph" w:customStyle="1" w:styleId="Index">
    <w:name w:val="Index"/>
    <w:basedOn w:val="Standard"/>
    <w:rsid w:val="00C42E4C"/>
    <w:pPr>
      <w:suppressLineNumbers/>
    </w:pPr>
    <w:rPr>
      <w:rFonts w:cs="Mangal"/>
    </w:rPr>
  </w:style>
  <w:style w:type="paragraph" w:customStyle="1" w:styleId="Header">
    <w:name w:val="Header"/>
    <w:basedOn w:val="Standard"/>
    <w:rsid w:val="00C42E4C"/>
    <w:pPr>
      <w:snapToGrid w:val="0"/>
    </w:pPr>
    <w:rPr>
      <w:sz w:val="20"/>
      <w:szCs w:val="20"/>
    </w:rPr>
  </w:style>
  <w:style w:type="paragraph" w:customStyle="1" w:styleId="Footer">
    <w:name w:val="Footer"/>
    <w:basedOn w:val="Standard"/>
    <w:rsid w:val="00C42E4C"/>
    <w:pPr>
      <w:snapToGrid w:val="0"/>
    </w:pPr>
    <w:rPr>
      <w:sz w:val="20"/>
      <w:szCs w:val="20"/>
    </w:rPr>
  </w:style>
  <w:style w:type="paragraph" w:styleId="a4">
    <w:name w:val="Balloon Text"/>
    <w:basedOn w:val="Standard"/>
    <w:rsid w:val="00C42E4C"/>
    <w:rPr>
      <w:rFonts w:ascii="Calibri Light" w:hAnsi="Calibri Light"/>
      <w:sz w:val="18"/>
      <w:szCs w:val="18"/>
    </w:rPr>
  </w:style>
  <w:style w:type="character" w:customStyle="1" w:styleId="a5">
    <w:name w:val="頁首 字元"/>
    <w:rsid w:val="00C42E4C"/>
    <w:rPr>
      <w:sz w:val="20"/>
      <w:szCs w:val="20"/>
    </w:rPr>
  </w:style>
  <w:style w:type="character" w:customStyle="1" w:styleId="a6">
    <w:name w:val="頁尾 字元"/>
    <w:rsid w:val="00C42E4C"/>
    <w:rPr>
      <w:sz w:val="20"/>
      <w:szCs w:val="20"/>
    </w:rPr>
  </w:style>
  <w:style w:type="character" w:customStyle="1" w:styleId="a7">
    <w:name w:val="註解方塊文字 字元"/>
    <w:rsid w:val="00C42E4C"/>
    <w:rPr>
      <w:rFonts w:ascii="Calibri Light" w:eastAsia="新細明體, PMingLiU" w:hAnsi="Calibri Light" w:cs="Times New Roman"/>
      <w:kern w:val="3"/>
      <w:sz w:val="18"/>
      <w:szCs w:val="18"/>
    </w:rPr>
  </w:style>
  <w:style w:type="paragraph" w:styleId="a8">
    <w:name w:val="header"/>
    <w:basedOn w:val="a"/>
    <w:link w:val="1"/>
    <w:uiPriority w:val="99"/>
    <w:semiHidden/>
    <w:unhideWhenUsed/>
    <w:rsid w:val="00230C53"/>
    <w:pPr>
      <w:tabs>
        <w:tab w:val="center" w:pos="4153"/>
        <w:tab w:val="right" w:pos="8306"/>
      </w:tabs>
      <w:snapToGrid w:val="0"/>
    </w:pPr>
    <w:rPr>
      <w:sz w:val="20"/>
      <w:szCs w:val="18"/>
    </w:rPr>
  </w:style>
  <w:style w:type="character" w:customStyle="1" w:styleId="1">
    <w:name w:val="頁首 字元1"/>
    <w:basedOn w:val="a0"/>
    <w:link w:val="a8"/>
    <w:uiPriority w:val="99"/>
    <w:semiHidden/>
    <w:rsid w:val="00230C53"/>
    <w:rPr>
      <w:sz w:val="20"/>
      <w:szCs w:val="18"/>
    </w:rPr>
  </w:style>
  <w:style w:type="paragraph" w:styleId="a9">
    <w:name w:val="footer"/>
    <w:basedOn w:val="a"/>
    <w:link w:val="10"/>
    <w:uiPriority w:val="99"/>
    <w:semiHidden/>
    <w:unhideWhenUsed/>
    <w:rsid w:val="00230C53"/>
    <w:pPr>
      <w:tabs>
        <w:tab w:val="center" w:pos="4153"/>
        <w:tab w:val="right" w:pos="8306"/>
      </w:tabs>
      <w:snapToGrid w:val="0"/>
    </w:pPr>
    <w:rPr>
      <w:sz w:val="20"/>
      <w:szCs w:val="18"/>
    </w:rPr>
  </w:style>
  <w:style w:type="character" w:customStyle="1" w:styleId="10">
    <w:name w:val="頁尾 字元1"/>
    <w:basedOn w:val="a0"/>
    <w:link w:val="a9"/>
    <w:uiPriority w:val="99"/>
    <w:semiHidden/>
    <w:rsid w:val="00230C53"/>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江奇晉</dc:creator>
  <cp:lastModifiedBy>user</cp:lastModifiedBy>
  <cp:revision>1</cp:revision>
  <cp:lastPrinted>2016-11-22T10:15:00Z</cp:lastPrinted>
  <dcterms:created xsi:type="dcterms:W3CDTF">2016-11-09T11:01:00Z</dcterms:created>
  <dcterms:modified xsi:type="dcterms:W3CDTF">2016-12-01T09:13:00Z</dcterms:modified>
</cp:coreProperties>
</file>