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6474" w14:textId="1E8E80B7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三</w:t>
      </w:r>
    </w:p>
    <w:p w14:paraId="08222C1A" w14:textId="6F4850CF" w:rsidR="0036121C" w:rsidRDefault="0036121C" w:rsidP="0036121C">
      <w:pPr>
        <w:spacing w:line="36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3B4F59">
        <w:rPr>
          <w:rFonts w:ascii="標楷體" w:eastAsia="標楷體" w:hAnsi="標楷體" w:cs="標楷體" w:hint="eastAsia"/>
          <w:b/>
          <w:sz w:val="32"/>
          <w:szCs w:val="32"/>
        </w:rPr>
        <w:t>桃園市高級中等以下學</w:t>
      </w:r>
      <w:bookmarkStart w:id="0" w:name="_GoBack"/>
      <w:bookmarkEnd w:id="0"/>
      <w:r w:rsidRPr="003B4F59">
        <w:rPr>
          <w:rFonts w:ascii="標楷體" w:eastAsia="標楷體" w:hAnsi="標楷體" w:cs="標楷體" w:hint="eastAsia"/>
          <w:b/>
          <w:sz w:val="32"/>
          <w:szCs w:val="32"/>
        </w:rPr>
        <w:t>校教師線上教學影片拍攝暨募集計畫</w:t>
      </w:r>
      <w:r w:rsidRPr="0011082A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學習內容</w:t>
      </w:r>
    </w:p>
    <w:p w14:paraId="6EFEFC52" w14:textId="143F1E08" w:rsidR="00F8164D" w:rsidRDefault="00C57997" w:rsidP="009A6697">
      <w:pPr>
        <w:pStyle w:val="a3"/>
        <w:widowControl/>
        <w:numPr>
          <w:ilvl w:val="0"/>
          <w:numId w:val="27"/>
        </w:numPr>
        <w:tabs>
          <w:tab w:val="left" w:pos="396"/>
          <w:tab w:val="center" w:pos="5102"/>
        </w:tabs>
        <w:spacing w:beforeLines="100" w:before="240" w:afterLines="100" w:after="240"/>
        <w:ind w:leftChars="0"/>
        <w:rPr>
          <w:rFonts w:ascii="標楷體" w:eastAsia="標楷體" w:hAnsi="標楷體" w:cs="標楷體"/>
          <w:b/>
          <w:color w:val="FF0000"/>
          <w:sz w:val="28"/>
          <w:szCs w:val="32"/>
        </w:rPr>
      </w:pPr>
      <w:r>
        <w:rPr>
          <w:rFonts w:ascii="標楷體" w:eastAsia="標楷體" w:hAnsi="標楷體" w:cs="標楷體"/>
          <w:b/>
          <w:noProof/>
          <w:color w:val="FF0000"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EC38720" wp14:editId="66F754B2">
            <wp:simplePos x="0" y="0"/>
            <wp:positionH relativeFrom="column">
              <wp:posOffset>5241290</wp:posOffset>
            </wp:positionH>
            <wp:positionV relativeFrom="paragraph">
              <wp:posOffset>537210</wp:posOffset>
            </wp:positionV>
            <wp:extent cx="895350" cy="895350"/>
            <wp:effectExtent l="0" t="0" r="0" b="0"/>
            <wp:wrapNone/>
            <wp:docPr id="1" name="圖片 1" descr="C:\Users\10033628\AppData\Local\Microsoft\Windows\INetCache\Content.MSO\AF67D1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33628\AppData\Local\Microsoft\Windows\INetCache\Content.MSO\AF67D13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64D" w:rsidRP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選擇</w:t>
      </w:r>
      <w:r w:rsidR="003E4F39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下表的</w:t>
      </w:r>
      <w:r w:rsidR="00F8164D" w:rsidRP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核心概念，</w:t>
      </w:r>
      <w:r w:rsid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決定</w:t>
      </w:r>
      <w:r w:rsidR="00F8164D" w:rsidRP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自己</w:t>
      </w:r>
      <w:r w:rsidR="009A6697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欲</w:t>
      </w:r>
      <w:r w:rsidR="00E03D04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拍攝</w:t>
      </w:r>
      <w:r w:rsidR="00F8164D" w:rsidRP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的學習內容</w:t>
      </w:r>
      <w:r w:rsid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(可</w:t>
      </w:r>
      <w:r w:rsidR="009A6697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查詢</w:t>
      </w:r>
      <w:r w:rsidR="009A6697" w:rsidRPr="009A6697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110核心概念影片建置規畫表</w:t>
      </w:r>
      <w:r w:rsid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Excel檔，</w:t>
      </w:r>
      <w:r w:rsidR="009A6697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確認</w:t>
      </w:r>
      <w:r w:rsid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內容</w:t>
      </w:r>
      <w:r w:rsidR="002F6224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主題</w:t>
      </w:r>
      <w:r w:rsid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是否有重複)</w:t>
      </w:r>
    </w:p>
    <w:p w14:paraId="3329B8AC" w14:textId="54DBEDD0" w:rsidR="00C57997" w:rsidRPr="004D645C" w:rsidRDefault="00C57997" w:rsidP="00C57997">
      <w:pPr>
        <w:widowControl/>
        <w:tabs>
          <w:tab w:val="left" w:pos="396"/>
          <w:tab w:val="center" w:pos="5102"/>
        </w:tabs>
        <w:spacing w:beforeLines="100" w:before="240" w:afterLines="100" w:after="240"/>
        <w:ind w:left="396"/>
        <w:rPr>
          <w:rFonts w:ascii="標楷體" w:eastAsia="標楷體" w:hAnsi="標楷體" w:cs="標楷體"/>
          <w:b/>
          <w:sz w:val="28"/>
          <w:szCs w:val="32"/>
        </w:rPr>
      </w:pPr>
      <w:r w:rsidRPr="004D645C">
        <w:rPr>
          <w:rFonts w:ascii="標楷體" w:eastAsia="標楷體" w:hAnsi="標楷體" w:cs="標楷體"/>
          <w:b/>
          <w:sz w:val="28"/>
          <w:szCs w:val="32"/>
        </w:rPr>
        <w:t>https://reurl.cc/522nAq</w:t>
      </w:r>
      <w:r w:rsidRPr="004D645C">
        <w:rPr>
          <w:rFonts w:ascii="標楷體" w:eastAsia="標楷體" w:hAnsi="標楷體" w:cs="標楷體"/>
          <w:b/>
          <w:noProof/>
          <w:sz w:val="28"/>
          <w:szCs w:val="32"/>
        </w:rPr>
        <w:t xml:space="preserve"> </w:t>
      </w:r>
    </w:p>
    <w:p w14:paraId="22028557" w14:textId="7946BE23" w:rsidR="0036121C" w:rsidRPr="00F8164D" w:rsidRDefault="003E4F39" w:rsidP="0036121C">
      <w:pPr>
        <w:pStyle w:val="a3"/>
        <w:widowControl/>
        <w:numPr>
          <w:ilvl w:val="0"/>
          <w:numId w:val="27"/>
        </w:numPr>
        <w:tabs>
          <w:tab w:val="left" w:pos="396"/>
          <w:tab w:val="center" w:pos="5102"/>
        </w:tabs>
        <w:spacing w:beforeLines="100" w:before="240" w:afterLines="100" w:after="240"/>
        <w:ind w:leftChars="0"/>
        <w:rPr>
          <w:rFonts w:ascii="標楷體" w:eastAsia="標楷體" w:hAnsi="標楷體" w:cs="標楷體"/>
          <w:b/>
          <w:color w:val="FF0000"/>
          <w:sz w:val="28"/>
          <w:szCs w:val="32"/>
        </w:rPr>
      </w:pPr>
      <w:r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標註</w:t>
      </w:r>
      <w:r w:rsidR="0036121C" w:rsidRP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★者</w:t>
      </w:r>
      <w:r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為</w:t>
      </w:r>
      <w:r w:rsidR="0036121C" w:rsidRPr="00F8164D"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尚未規劃拍攝人員</w:t>
      </w:r>
      <w:r>
        <w:rPr>
          <w:rFonts w:ascii="標楷體" w:eastAsia="標楷體" w:hAnsi="標楷體" w:cs="標楷體" w:hint="eastAsia"/>
          <w:b/>
          <w:color w:val="FF0000"/>
          <w:sz w:val="28"/>
          <w:szCs w:val="32"/>
        </w:rPr>
        <w:t>，可優先選擇。</w:t>
      </w:r>
      <w:r w:rsidR="0036121C" w:rsidRPr="00F8164D">
        <w:rPr>
          <w:rFonts w:ascii="標楷體" w:eastAsia="標楷體" w:hAnsi="標楷體" w:cs="標楷體"/>
          <w:b/>
          <w:color w:val="FF0000"/>
          <w:sz w:val="28"/>
          <w:szCs w:val="32"/>
        </w:rPr>
        <w:tab/>
      </w:r>
    </w:p>
    <w:p w14:paraId="55C20E4E" w14:textId="77777777" w:rsidR="0036121C" w:rsidRDefault="0036121C" w:rsidP="0036121C">
      <w:pPr>
        <w:widowControl/>
        <w:tabs>
          <w:tab w:val="left" w:pos="396"/>
          <w:tab w:val="center" w:pos="5102"/>
        </w:tabs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【國文領域】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381"/>
        <w:gridCol w:w="7116"/>
      </w:tblGrid>
      <w:tr w:rsidR="0036121C" w14:paraId="106EC6F4" w14:textId="77777777" w:rsidTr="0036121C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10ABACE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25155A09" w14:textId="0A448892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7116" w:type="dxa"/>
            <w:shd w:val="clear" w:color="auto" w:fill="F2F2F2"/>
            <w:vAlign w:val="center"/>
          </w:tcPr>
          <w:p w14:paraId="3F2BDA9E" w14:textId="07979542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 w:rsidR="0036121C"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525B0906" w14:textId="77777777" w:rsidTr="0036121C">
        <w:trPr>
          <w:trHeight w:val="225"/>
        </w:trPr>
        <w:tc>
          <w:tcPr>
            <w:tcW w:w="704" w:type="dxa"/>
            <w:vAlign w:val="center"/>
          </w:tcPr>
          <w:p w14:paraId="04D3332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1" w:type="dxa"/>
            <w:vAlign w:val="center"/>
          </w:tcPr>
          <w:p w14:paraId="355EB8C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文字篇章─字詞</w:t>
            </w:r>
          </w:p>
        </w:tc>
        <w:tc>
          <w:tcPr>
            <w:tcW w:w="7116" w:type="dxa"/>
            <w:vAlign w:val="center"/>
          </w:tcPr>
          <w:p w14:paraId="0DE2D6E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字形、字音、字義、六書、書法碑帖</w:t>
            </w:r>
          </w:p>
        </w:tc>
      </w:tr>
      <w:tr w:rsidR="0036121C" w14:paraId="639600CA" w14:textId="77777777" w:rsidTr="0036121C">
        <w:tc>
          <w:tcPr>
            <w:tcW w:w="704" w:type="dxa"/>
            <w:vAlign w:val="center"/>
          </w:tcPr>
          <w:p w14:paraId="0976125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1" w:type="dxa"/>
            <w:vAlign w:val="center"/>
          </w:tcPr>
          <w:p w14:paraId="11AB0B7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文字篇章─句段</w:t>
            </w:r>
          </w:p>
        </w:tc>
        <w:tc>
          <w:tcPr>
            <w:tcW w:w="7116" w:type="dxa"/>
            <w:vAlign w:val="center"/>
          </w:tcPr>
          <w:p w14:paraId="69E3CF5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標點符號、句型、文句邏輯與意義</w:t>
            </w:r>
          </w:p>
        </w:tc>
      </w:tr>
      <w:tr w:rsidR="0036121C" w14:paraId="0C915E22" w14:textId="77777777" w:rsidTr="0036121C">
        <w:tc>
          <w:tcPr>
            <w:tcW w:w="704" w:type="dxa"/>
            <w:vAlign w:val="center"/>
          </w:tcPr>
          <w:p w14:paraId="0CA92A7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1" w:type="dxa"/>
            <w:vAlign w:val="center"/>
          </w:tcPr>
          <w:p w14:paraId="50CECBF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文字篇章─篇章</w:t>
            </w:r>
          </w:p>
        </w:tc>
        <w:tc>
          <w:tcPr>
            <w:tcW w:w="7116" w:type="dxa"/>
            <w:vAlign w:val="center"/>
          </w:tcPr>
          <w:p w14:paraId="2874313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篇章主旨、結構、寓意</w:t>
            </w:r>
          </w:p>
        </w:tc>
      </w:tr>
      <w:tr w:rsidR="0036121C" w14:paraId="4D21A68C" w14:textId="77777777" w:rsidTr="0036121C">
        <w:tc>
          <w:tcPr>
            <w:tcW w:w="704" w:type="dxa"/>
            <w:vAlign w:val="center"/>
          </w:tcPr>
          <w:p w14:paraId="3FD4EC9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1" w:type="dxa"/>
            <w:vAlign w:val="center"/>
          </w:tcPr>
          <w:p w14:paraId="6684ECB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文字篇章─文體</w:t>
            </w:r>
          </w:p>
        </w:tc>
        <w:tc>
          <w:tcPr>
            <w:tcW w:w="7116" w:type="dxa"/>
            <w:vAlign w:val="center"/>
          </w:tcPr>
          <w:p w14:paraId="147AFBF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白話、文言(韻文、非韻文)</w:t>
            </w:r>
          </w:p>
        </w:tc>
      </w:tr>
      <w:tr w:rsidR="0036121C" w14:paraId="24BF272E" w14:textId="77777777" w:rsidTr="0036121C">
        <w:tc>
          <w:tcPr>
            <w:tcW w:w="704" w:type="dxa"/>
            <w:vAlign w:val="center"/>
          </w:tcPr>
          <w:p w14:paraId="1EFF24F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1" w:type="dxa"/>
            <w:vAlign w:val="center"/>
          </w:tcPr>
          <w:p w14:paraId="3D393AD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文本表述─記敘文本</w:t>
            </w:r>
          </w:p>
        </w:tc>
        <w:tc>
          <w:tcPr>
            <w:tcW w:w="7116" w:type="dxa"/>
            <w:vAlign w:val="center"/>
          </w:tcPr>
          <w:p w14:paraId="57925B2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順敘、倒敘、插敘、補敘、描寫法</w:t>
            </w:r>
          </w:p>
        </w:tc>
      </w:tr>
      <w:tr w:rsidR="0036121C" w14:paraId="70E986DB" w14:textId="77777777" w:rsidTr="0036121C">
        <w:tc>
          <w:tcPr>
            <w:tcW w:w="704" w:type="dxa"/>
            <w:vAlign w:val="center"/>
          </w:tcPr>
          <w:p w14:paraId="544EE4E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1" w:type="dxa"/>
            <w:vAlign w:val="center"/>
          </w:tcPr>
          <w:p w14:paraId="71B05FE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文本表述─抒情文本</w:t>
            </w:r>
          </w:p>
        </w:tc>
        <w:tc>
          <w:tcPr>
            <w:tcW w:w="7116" w:type="dxa"/>
            <w:vAlign w:val="center"/>
          </w:tcPr>
          <w:p w14:paraId="165C605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直接抒情、間接抒情、人我交流、社會體悟、自然生命感悟</w:t>
            </w:r>
          </w:p>
        </w:tc>
      </w:tr>
      <w:tr w:rsidR="0036121C" w14:paraId="2F5DA2E4" w14:textId="77777777" w:rsidTr="0036121C">
        <w:tc>
          <w:tcPr>
            <w:tcW w:w="704" w:type="dxa"/>
            <w:vAlign w:val="center"/>
          </w:tcPr>
          <w:p w14:paraId="49E76CC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1" w:type="dxa"/>
            <w:vAlign w:val="center"/>
          </w:tcPr>
          <w:p w14:paraId="4E45EE6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文本表述─說明文本</w:t>
            </w:r>
          </w:p>
        </w:tc>
        <w:tc>
          <w:tcPr>
            <w:tcW w:w="7116" w:type="dxa"/>
            <w:vAlign w:val="center"/>
          </w:tcPr>
          <w:p w14:paraId="6BD6ED6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客觀理性說明、因果對比寫作手法、數據圖表輔助說明</w:t>
            </w:r>
          </w:p>
        </w:tc>
      </w:tr>
      <w:tr w:rsidR="0036121C" w14:paraId="41D2C05E" w14:textId="77777777" w:rsidTr="0036121C">
        <w:tc>
          <w:tcPr>
            <w:tcW w:w="704" w:type="dxa"/>
            <w:vAlign w:val="center"/>
          </w:tcPr>
          <w:p w14:paraId="363EDA0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1" w:type="dxa"/>
            <w:vAlign w:val="center"/>
          </w:tcPr>
          <w:p w14:paraId="243EDFD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文本表述─議論文本</w:t>
            </w:r>
          </w:p>
        </w:tc>
        <w:tc>
          <w:tcPr>
            <w:tcW w:w="7116" w:type="dxa"/>
            <w:vAlign w:val="center"/>
          </w:tcPr>
          <w:p w14:paraId="1B1CFAE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論據、論證</w:t>
            </w:r>
          </w:p>
        </w:tc>
      </w:tr>
      <w:tr w:rsidR="0036121C" w14:paraId="3E835547" w14:textId="77777777" w:rsidTr="0036121C">
        <w:tc>
          <w:tcPr>
            <w:tcW w:w="704" w:type="dxa"/>
            <w:vAlign w:val="center"/>
          </w:tcPr>
          <w:p w14:paraId="4D2ABC6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1" w:type="dxa"/>
            <w:vAlign w:val="center"/>
          </w:tcPr>
          <w:p w14:paraId="7B8B791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文本表述─應用文本</w:t>
            </w:r>
          </w:p>
        </w:tc>
        <w:tc>
          <w:tcPr>
            <w:tcW w:w="7116" w:type="dxa"/>
            <w:vAlign w:val="center"/>
          </w:tcPr>
          <w:p w14:paraId="30B22D5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生活應用方面、人際溝通方面、學習應用方面（自傳、書信、便條、對聯、簡報）</w:t>
            </w:r>
          </w:p>
        </w:tc>
      </w:tr>
      <w:tr w:rsidR="0036121C" w14:paraId="110AA8C4" w14:textId="77777777" w:rsidTr="0036121C">
        <w:tc>
          <w:tcPr>
            <w:tcW w:w="704" w:type="dxa"/>
            <w:vAlign w:val="center"/>
          </w:tcPr>
          <w:p w14:paraId="4F6B4E5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1" w:type="dxa"/>
            <w:vAlign w:val="center"/>
          </w:tcPr>
          <w:p w14:paraId="62AA7A9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閱讀理解</w:t>
            </w:r>
          </w:p>
        </w:tc>
        <w:tc>
          <w:tcPr>
            <w:tcW w:w="7116" w:type="dxa"/>
            <w:vAlign w:val="center"/>
          </w:tcPr>
          <w:p w14:paraId="412DB1C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22A95A62" w14:textId="77777777" w:rsidTr="0036121C">
        <w:tc>
          <w:tcPr>
            <w:tcW w:w="704" w:type="dxa"/>
            <w:vAlign w:val="center"/>
          </w:tcPr>
          <w:p w14:paraId="60F92FE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381" w:type="dxa"/>
            <w:vAlign w:val="center"/>
          </w:tcPr>
          <w:p w14:paraId="52AED24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寫作策略</w:t>
            </w:r>
          </w:p>
        </w:tc>
        <w:tc>
          <w:tcPr>
            <w:tcW w:w="7116" w:type="dxa"/>
            <w:vAlign w:val="center"/>
          </w:tcPr>
          <w:p w14:paraId="17C6048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</w:tbl>
    <w:p w14:paraId="55FD2E2D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【英文領域】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381"/>
        <w:gridCol w:w="7116"/>
      </w:tblGrid>
      <w:tr w:rsidR="0036121C" w14:paraId="606764A3" w14:textId="77777777" w:rsidTr="0036121C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6CE1669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381" w:type="dxa"/>
            <w:shd w:val="clear" w:color="auto" w:fill="F2F2F2"/>
            <w:vAlign w:val="center"/>
          </w:tcPr>
          <w:p w14:paraId="1E2A6EF4" w14:textId="4CB8555E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7116" w:type="dxa"/>
            <w:shd w:val="clear" w:color="auto" w:fill="F2F2F2"/>
            <w:vAlign w:val="center"/>
          </w:tcPr>
          <w:p w14:paraId="5CEF38EB" w14:textId="41556295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2D829C47" w14:textId="77777777" w:rsidTr="0036121C">
        <w:trPr>
          <w:trHeight w:val="225"/>
        </w:trPr>
        <w:tc>
          <w:tcPr>
            <w:tcW w:w="704" w:type="dxa"/>
            <w:vAlign w:val="center"/>
          </w:tcPr>
          <w:p w14:paraId="798CB62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381" w:type="dxa"/>
            <w:vAlign w:val="center"/>
          </w:tcPr>
          <w:p w14:paraId="2635CAF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語言知識─字母</w:t>
            </w:r>
          </w:p>
        </w:tc>
        <w:tc>
          <w:tcPr>
            <w:tcW w:w="7116" w:type="dxa"/>
            <w:vAlign w:val="center"/>
          </w:tcPr>
          <w:p w14:paraId="78B75D48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連續體大小寫字母</w:t>
            </w:r>
          </w:p>
        </w:tc>
      </w:tr>
      <w:tr w:rsidR="0036121C" w14:paraId="26155E33" w14:textId="77777777" w:rsidTr="0036121C">
        <w:tc>
          <w:tcPr>
            <w:tcW w:w="704" w:type="dxa"/>
            <w:vAlign w:val="center"/>
          </w:tcPr>
          <w:p w14:paraId="06B212D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381" w:type="dxa"/>
            <w:vAlign w:val="center"/>
          </w:tcPr>
          <w:p w14:paraId="788A24D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語言知識─語音</w:t>
            </w:r>
          </w:p>
        </w:tc>
        <w:tc>
          <w:tcPr>
            <w:tcW w:w="7116" w:type="dxa"/>
            <w:vAlign w:val="center"/>
          </w:tcPr>
          <w:p w14:paraId="66B4184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句子的發音、重音及語調，歌謠、韻文的節奏，字母拼讀規則</w:t>
            </w:r>
          </w:p>
        </w:tc>
      </w:tr>
      <w:tr w:rsidR="0036121C" w14:paraId="086A1472" w14:textId="77777777" w:rsidTr="0036121C">
        <w:tc>
          <w:tcPr>
            <w:tcW w:w="704" w:type="dxa"/>
            <w:vAlign w:val="center"/>
          </w:tcPr>
          <w:p w14:paraId="1CCB99A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381" w:type="dxa"/>
            <w:vAlign w:val="center"/>
          </w:tcPr>
          <w:p w14:paraId="49D26E5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語言知識─字詞</w:t>
            </w:r>
          </w:p>
        </w:tc>
        <w:tc>
          <w:tcPr>
            <w:tcW w:w="7116" w:type="dxa"/>
            <w:vAlign w:val="center"/>
          </w:tcPr>
          <w:p w14:paraId="28DEDA51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教室用語、生活用語、1,200字詞</w:t>
            </w:r>
          </w:p>
        </w:tc>
      </w:tr>
      <w:tr w:rsidR="0036121C" w14:paraId="5D9C131D" w14:textId="77777777" w:rsidTr="0036121C">
        <w:tc>
          <w:tcPr>
            <w:tcW w:w="704" w:type="dxa"/>
            <w:vAlign w:val="center"/>
          </w:tcPr>
          <w:p w14:paraId="689F03A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381" w:type="dxa"/>
            <w:vAlign w:val="center"/>
          </w:tcPr>
          <w:p w14:paraId="375CC86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語言知識─句構</w:t>
            </w:r>
          </w:p>
        </w:tc>
        <w:tc>
          <w:tcPr>
            <w:tcW w:w="7116" w:type="dxa"/>
            <w:vAlign w:val="center"/>
          </w:tcPr>
          <w:p w14:paraId="7D811F5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文法句型</w:t>
            </w:r>
          </w:p>
        </w:tc>
      </w:tr>
      <w:tr w:rsidR="0036121C" w14:paraId="6CBAD2C5" w14:textId="77777777" w:rsidTr="0036121C">
        <w:tc>
          <w:tcPr>
            <w:tcW w:w="704" w:type="dxa"/>
            <w:vAlign w:val="center"/>
          </w:tcPr>
          <w:p w14:paraId="4796168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381" w:type="dxa"/>
            <w:vAlign w:val="center"/>
          </w:tcPr>
          <w:p w14:paraId="63EB0E7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語言知識─篇章</w:t>
            </w:r>
          </w:p>
        </w:tc>
        <w:tc>
          <w:tcPr>
            <w:tcW w:w="7116" w:type="dxa"/>
            <w:vAlign w:val="center"/>
          </w:tcPr>
          <w:p w14:paraId="4B96A16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歌謠、韻文、短文（大意）、故事（背景、人物、事件、結局）、短劇、圖表、公共廣播、書信、不同體裁或文體比較</w:t>
            </w:r>
          </w:p>
        </w:tc>
      </w:tr>
      <w:tr w:rsidR="0036121C" w14:paraId="6507A117" w14:textId="77777777" w:rsidTr="0036121C">
        <w:tc>
          <w:tcPr>
            <w:tcW w:w="704" w:type="dxa"/>
            <w:vAlign w:val="center"/>
          </w:tcPr>
          <w:p w14:paraId="5634AE0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381" w:type="dxa"/>
            <w:vAlign w:val="center"/>
          </w:tcPr>
          <w:p w14:paraId="3E06048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溝通功能</w:t>
            </w:r>
          </w:p>
        </w:tc>
        <w:tc>
          <w:tcPr>
            <w:tcW w:w="7116" w:type="dxa"/>
            <w:vAlign w:val="center"/>
          </w:tcPr>
          <w:p w14:paraId="07E7DCA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生活溝通、自己和他人的描述、感受的表達、圖片描述、角色扮演、引導式討論</w:t>
            </w:r>
          </w:p>
        </w:tc>
      </w:tr>
      <w:tr w:rsidR="0036121C" w14:paraId="316CAC45" w14:textId="77777777" w:rsidTr="0036121C">
        <w:tc>
          <w:tcPr>
            <w:tcW w:w="704" w:type="dxa"/>
            <w:vAlign w:val="center"/>
          </w:tcPr>
          <w:p w14:paraId="70BBEDA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381" w:type="dxa"/>
            <w:vAlign w:val="center"/>
          </w:tcPr>
          <w:p w14:paraId="749A35D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文化與習俗</w:t>
            </w:r>
          </w:p>
        </w:tc>
        <w:tc>
          <w:tcPr>
            <w:tcW w:w="7116" w:type="dxa"/>
            <w:vAlign w:val="center"/>
          </w:tcPr>
          <w:p w14:paraId="5B10DFF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國內外節慶、風俗、世界觀、禮儀</w:t>
            </w:r>
          </w:p>
        </w:tc>
      </w:tr>
      <w:tr w:rsidR="0036121C" w14:paraId="41472C56" w14:textId="77777777" w:rsidTr="0036121C">
        <w:tc>
          <w:tcPr>
            <w:tcW w:w="704" w:type="dxa"/>
            <w:vAlign w:val="center"/>
          </w:tcPr>
          <w:p w14:paraId="3119ACF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381" w:type="dxa"/>
            <w:vAlign w:val="center"/>
          </w:tcPr>
          <w:p w14:paraId="410DF1D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思考能力</w:t>
            </w:r>
          </w:p>
        </w:tc>
        <w:tc>
          <w:tcPr>
            <w:tcW w:w="7116" w:type="dxa"/>
            <w:vAlign w:val="center"/>
          </w:tcPr>
          <w:p w14:paraId="4F0300E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綜合資料推測，訊息比較、歸類、排序，因果關係釐清，客觀事實和主觀意見的分辨</w:t>
            </w:r>
          </w:p>
        </w:tc>
      </w:tr>
      <w:tr w:rsidR="0036121C" w14:paraId="3476A15C" w14:textId="77777777" w:rsidTr="0036121C">
        <w:tc>
          <w:tcPr>
            <w:tcW w:w="704" w:type="dxa"/>
            <w:vAlign w:val="center"/>
          </w:tcPr>
          <w:p w14:paraId="627CA77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381" w:type="dxa"/>
            <w:vAlign w:val="center"/>
          </w:tcPr>
          <w:p w14:paraId="6331AAB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閱讀理解</w:t>
            </w:r>
          </w:p>
        </w:tc>
        <w:tc>
          <w:tcPr>
            <w:tcW w:w="7116" w:type="dxa"/>
            <w:vAlign w:val="center"/>
          </w:tcPr>
          <w:p w14:paraId="036E2B0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6B651A32" w14:textId="77777777" w:rsidTr="0036121C">
        <w:tc>
          <w:tcPr>
            <w:tcW w:w="704" w:type="dxa"/>
            <w:vAlign w:val="center"/>
          </w:tcPr>
          <w:p w14:paraId="4619282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381" w:type="dxa"/>
            <w:vAlign w:val="center"/>
          </w:tcPr>
          <w:p w14:paraId="4E254E6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寫作策略</w:t>
            </w:r>
          </w:p>
        </w:tc>
        <w:tc>
          <w:tcPr>
            <w:tcW w:w="7116" w:type="dxa"/>
            <w:vAlign w:val="center"/>
          </w:tcPr>
          <w:p w14:paraId="083EC70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</w:tbl>
    <w:p w14:paraId="20AAF025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【數學領域】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6520"/>
      </w:tblGrid>
      <w:tr w:rsidR="0036121C" w14:paraId="0975D756" w14:textId="77777777" w:rsidTr="0036121C">
        <w:trPr>
          <w:trHeight w:val="70"/>
        </w:trPr>
        <w:tc>
          <w:tcPr>
            <w:tcW w:w="704" w:type="dxa"/>
            <w:shd w:val="clear" w:color="auto" w:fill="F2F2F2"/>
            <w:vAlign w:val="center"/>
          </w:tcPr>
          <w:p w14:paraId="58CB783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0CF6F02" w14:textId="26DA29FC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00E26CD5" w14:textId="4F65832A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656FA1B1" w14:textId="77777777" w:rsidTr="0036121C">
        <w:trPr>
          <w:trHeight w:val="584"/>
        </w:trPr>
        <w:tc>
          <w:tcPr>
            <w:tcW w:w="704" w:type="dxa"/>
            <w:vAlign w:val="center"/>
          </w:tcPr>
          <w:p w14:paraId="08D2BB5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14:paraId="1768AC7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整數與數線</w:t>
            </w:r>
          </w:p>
        </w:tc>
        <w:tc>
          <w:tcPr>
            <w:tcW w:w="6520" w:type="dxa"/>
            <w:vMerge w:val="restart"/>
            <w:vAlign w:val="center"/>
          </w:tcPr>
          <w:p w14:paraId="25AD1C7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100以內的質數</w:t>
            </w:r>
          </w:p>
          <w:p w14:paraId="7D2B0C5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質因數分解的標準分解式</w:t>
            </w:r>
          </w:p>
          <w:p w14:paraId="7786344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負數與數的四則混合運(算含分數、小數)</w:t>
            </w:r>
          </w:p>
          <w:p w14:paraId="729033A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數的運算規律</w:t>
            </w:r>
          </w:p>
          <w:p w14:paraId="2119650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數線</w:t>
            </w:r>
          </w:p>
          <w:p w14:paraId="6644B62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指數的意義</w:t>
            </w:r>
          </w:p>
          <w:p w14:paraId="750CA10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指數律</w:t>
            </w:r>
          </w:p>
          <w:p w14:paraId="008A5F7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科學記號</w:t>
            </w:r>
          </w:p>
          <w:p w14:paraId="577DFF1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比與比例式</w:t>
            </w:r>
          </w:p>
          <w:p w14:paraId="17AF4C6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簡單圖形與幾何符號</w:t>
            </w:r>
          </w:p>
          <w:p w14:paraId="3B11E75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三視圖</w:t>
            </w:r>
          </w:p>
          <w:p w14:paraId="38E43CE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垂直</w:t>
            </w:r>
          </w:p>
          <w:p w14:paraId="2702783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線對稱的性質</w:t>
            </w:r>
          </w:p>
          <w:p w14:paraId="24CB86B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線對稱的基本圖形</w:t>
            </w:r>
          </w:p>
          <w:p w14:paraId="2EFBEA0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平面直角坐標系</w:t>
            </w:r>
          </w:p>
          <w:p w14:paraId="114EF12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代數符號</w:t>
            </w:r>
          </w:p>
          <w:p w14:paraId="1C87403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一元一次方程式的意義</w:t>
            </w:r>
          </w:p>
          <w:p w14:paraId="0BB8256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一元一次方程式的解法與應用</w:t>
            </w:r>
          </w:p>
          <w:p w14:paraId="32808218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二元一次聯立方程式的意義</w:t>
            </w:r>
          </w:p>
          <w:p w14:paraId="070B8EB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二元一次聯立方程式的解法與應用</w:t>
            </w:r>
          </w:p>
          <w:p w14:paraId="616FAF1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統計圖表</w:t>
            </w:r>
          </w:p>
          <w:p w14:paraId="149CFBA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統計數據</w:t>
            </w:r>
          </w:p>
        </w:tc>
      </w:tr>
      <w:tr w:rsidR="0036121C" w14:paraId="04469ED2" w14:textId="77777777" w:rsidTr="0036121C">
        <w:trPr>
          <w:trHeight w:val="871"/>
        </w:trPr>
        <w:tc>
          <w:tcPr>
            <w:tcW w:w="704" w:type="dxa"/>
            <w:vAlign w:val="center"/>
          </w:tcPr>
          <w:p w14:paraId="069AE39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977" w:type="dxa"/>
            <w:vAlign w:val="center"/>
          </w:tcPr>
          <w:p w14:paraId="7F19B4A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標準分解式與分數運算</w:t>
            </w:r>
          </w:p>
        </w:tc>
        <w:tc>
          <w:tcPr>
            <w:tcW w:w="6520" w:type="dxa"/>
            <w:vMerge/>
            <w:vAlign w:val="center"/>
          </w:tcPr>
          <w:p w14:paraId="183354B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42C75C1D" w14:textId="77777777" w:rsidTr="0036121C">
        <w:trPr>
          <w:trHeight w:val="871"/>
        </w:trPr>
        <w:tc>
          <w:tcPr>
            <w:tcW w:w="704" w:type="dxa"/>
            <w:vAlign w:val="center"/>
          </w:tcPr>
          <w:p w14:paraId="24478EB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977" w:type="dxa"/>
            <w:vAlign w:val="center"/>
          </w:tcPr>
          <w:p w14:paraId="683A032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一元一次方程式</w:t>
            </w:r>
          </w:p>
        </w:tc>
        <w:tc>
          <w:tcPr>
            <w:tcW w:w="6520" w:type="dxa"/>
            <w:vMerge/>
            <w:vAlign w:val="center"/>
          </w:tcPr>
          <w:p w14:paraId="1498BE4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2A4ACC82" w14:textId="77777777" w:rsidTr="0036121C">
        <w:trPr>
          <w:trHeight w:val="871"/>
        </w:trPr>
        <w:tc>
          <w:tcPr>
            <w:tcW w:w="704" w:type="dxa"/>
            <w:vAlign w:val="center"/>
          </w:tcPr>
          <w:p w14:paraId="7525AD9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977" w:type="dxa"/>
            <w:vAlign w:val="center"/>
          </w:tcPr>
          <w:p w14:paraId="4181204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二元一次聯立方程式</w:t>
            </w:r>
          </w:p>
        </w:tc>
        <w:tc>
          <w:tcPr>
            <w:tcW w:w="6520" w:type="dxa"/>
            <w:vMerge/>
            <w:vAlign w:val="center"/>
          </w:tcPr>
          <w:p w14:paraId="11C0BE22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6FBA2D93" w14:textId="77777777" w:rsidTr="0036121C">
        <w:trPr>
          <w:trHeight w:val="871"/>
        </w:trPr>
        <w:tc>
          <w:tcPr>
            <w:tcW w:w="704" w:type="dxa"/>
            <w:vAlign w:val="center"/>
          </w:tcPr>
          <w:p w14:paraId="12946CD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977" w:type="dxa"/>
            <w:vAlign w:val="center"/>
          </w:tcPr>
          <w:p w14:paraId="6321721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直角坐標與二元一次聯立方程式的圖形</w:t>
            </w:r>
          </w:p>
        </w:tc>
        <w:tc>
          <w:tcPr>
            <w:tcW w:w="6520" w:type="dxa"/>
            <w:vMerge/>
            <w:vAlign w:val="center"/>
          </w:tcPr>
          <w:p w14:paraId="1522B65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735A48FF" w14:textId="77777777" w:rsidTr="0036121C">
        <w:trPr>
          <w:trHeight w:val="871"/>
        </w:trPr>
        <w:tc>
          <w:tcPr>
            <w:tcW w:w="704" w:type="dxa"/>
            <w:vAlign w:val="center"/>
          </w:tcPr>
          <w:p w14:paraId="547357E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977" w:type="dxa"/>
            <w:vAlign w:val="center"/>
          </w:tcPr>
          <w:p w14:paraId="68007B0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比與比例</w:t>
            </w:r>
          </w:p>
        </w:tc>
        <w:tc>
          <w:tcPr>
            <w:tcW w:w="6520" w:type="dxa"/>
            <w:vMerge/>
            <w:vAlign w:val="center"/>
          </w:tcPr>
          <w:p w14:paraId="757DBA2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6C440E49" w14:textId="77777777" w:rsidTr="0036121C">
        <w:trPr>
          <w:trHeight w:val="871"/>
        </w:trPr>
        <w:tc>
          <w:tcPr>
            <w:tcW w:w="704" w:type="dxa"/>
            <w:vAlign w:val="center"/>
          </w:tcPr>
          <w:p w14:paraId="69AF43B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977" w:type="dxa"/>
            <w:vAlign w:val="center"/>
          </w:tcPr>
          <w:p w14:paraId="03C59EA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一元一次不等式</w:t>
            </w:r>
          </w:p>
        </w:tc>
        <w:tc>
          <w:tcPr>
            <w:tcW w:w="6520" w:type="dxa"/>
            <w:vMerge/>
            <w:vAlign w:val="center"/>
          </w:tcPr>
          <w:p w14:paraId="4F64E222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318E5BD1" w14:textId="77777777" w:rsidTr="0036121C">
        <w:trPr>
          <w:trHeight w:val="871"/>
        </w:trPr>
        <w:tc>
          <w:tcPr>
            <w:tcW w:w="704" w:type="dxa"/>
            <w:vAlign w:val="center"/>
          </w:tcPr>
          <w:p w14:paraId="09E501D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977" w:type="dxa"/>
            <w:vAlign w:val="center"/>
          </w:tcPr>
          <w:p w14:paraId="3184E17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線對稱與三視圖</w:t>
            </w:r>
          </w:p>
        </w:tc>
        <w:tc>
          <w:tcPr>
            <w:tcW w:w="6520" w:type="dxa"/>
            <w:vMerge/>
            <w:vAlign w:val="center"/>
          </w:tcPr>
          <w:p w14:paraId="51C945F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3B7B6A0A" w14:textId="77777777" w:rsidTr="0036121C">
        <w:trPr>
          <w:trHeight w:val="872"/>
        </w:trPr>
        <w:tc>
          <w:tcPr>
            <w:tcW w:w="704" w:type="dxa"/>
            <w:vAlign w:val="center"/>
          </w:tcPr>
          <w:p w14:paraId="3D652C2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977" w:type="dxa"/>
            <w:vAlign w:val="center"/>
          </w:tcPr>
          <w:p w14:paraId="6D5BBC1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統計圖表與數據分析</w:t>
            </w:r>
          </w:p>
        </w:tc>
        <w:tc>
          <w:tcPr>
            <w:tcW w:w="6520" w:type="dxa"/>
            <w:vMerge/>
            <w:vAlign w:val="center"/>
          </w:tcPr>
          <w:p w14:paraId="734BBC15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0AF9F548" w14:textId="77777777" w:rsidTr="0036121C">
        <w:trPr>
          <w:trHeight w:val="936"/>
        </w:trPr>
        <w:tc>
          <w:tcPr>
            <w:tcW w:w="704" w:type="dxa"/>
            <w:vAlign w:val="center"/>
          </w:tcPr>
          <w:p w14:paraId="089FD79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977" w:type="dxa"/>
            <w:vAlign w:val="center"/>
          </w:tcPr>
          <w:p w14:paraId="771E095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乘法公式與多項式</w:t>
            </w:r>
          </w:p>
        </w:tc>
        <w:tc>
          <w:tcPr>
            <w:tcW w:w="6520" w:type="dxa"/>
            <w:vMerge w:val="restart"/>
            <w:vAlign w:val="center"/>
          </w:tcPr>
          <w:p w14:paraId="5659B19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二次方根</w:t>
            </w:r>
          </w:p>
          <w:p w14:paraId="49FDC27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二次方根的近似值</w:t>
            </w:r>
          </w:p>
          <w:p w14:paraId="271B4C2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認識數列</w:t>
            </w:r>
          </w:p>
          <w:p w14:paraId="5D45D2C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等差數列</w:t>
            </w:r>
          </w:p>
          <w:p w14:paraId="5AB40F3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等差級數求和</w:t>
            </w:r>
          </w:p>
          <w:p w14:paraId="48B93CB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等比數列</w:t>
            </w:r>
          </w:p>
          <w:p w14:paraId="055A78F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角</w:t>
            </w:r>
          </w:p>
          <w:p w14:paraId="7ADE8E3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凸多邊形的內角和</w:t>
            </w:r>
          </w:p>
          <w:p w14:paraId="4701C31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</w:t>
            </w:r>
          </w:p>
          <w:p w14:paraId="29A5584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全等圖形</w:t>
            </w:r>
          </w:p>
          <w:p w14:paraId="4738E50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三角形的全等性質</w:t>
            </w:r>
          </w:p>
          <w:p w14:paraId="6CB7F93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畢氏定理</w:t>
            </w:r>
          </w:p>
          <w:p w14:paraId="68E0967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平面圖形的面積</w:t>
            </w:r>
          </w:p>
        </w:tc>
      </w:tr>
      <w:tr w:rsidR="0036121C" w14:paraId="60EC4259" w14:textId="77777777" w:rsidTr="0036121C">
        <w:trPr>
          <w:trHeight w:val="936"/>
        </w:trPr>
        <w:tc>
          <w:tcPr>
            <w:tcW w:w="704" w:type="dxa"/>
            <w:vAlign w:val="center"/>
          </w:tcPr>
          <w:p w14:paraId="324383A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2977" w:type="dxa"/>
            <w:vAlign w:val="center"/>
          </w:tcPr>
          <w:p w14:paraId="631E75D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平方根與畢氏定理</w:t>
            </w:r>
          </w:p>
        </w:tc>
        <w:tc>
          <w:tcPr>
            <w:tcW w:w="6520" w:type="dxa"/>
            <w:vMerge/>
            <w:vAlign w:val="center"/>
          </w:tcPr>
          <w:p w14:paraId="229C4ABF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35A7D08B" w14:textId="77777777" w:rsidTr="0036121C">
        <w:trPr>
          <w:trHeight w:val="936"/>
        </w:trPr>
        <w:tc>
          <w:tcPr>
            <w:tcW w:w="704" w:type="dxa"/>
            <w:vAlign w:val="center"/>
          </w:tcPr>
          <w:p w14:paraId="62BA3CA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2977" w:type="dxa"/>
            <w:vAlign w:val="center"/>
          </w:tcPr>
          <w:p w14:paraId="1DB6ABB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</w:t>
            </w:r>
          </w:p>
        </w:tc>
        <w:tc>
          <w:tcPr>
            <w:tcW w:w="6520" w:type="dxa"/>
            <w:vMerge/>
            <w:vAlign w:val="center"/>
          </w:tcPr>
          <w:p w14:paraId="03E6506B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74592606" w14:textId="77777777" w:rsidTr="0036121C">
        <w:trPr>
          <w:trHeight w:val="936"/>
        </w:trPr>
        <w:tc>
          <w:tcPr>
            <w:tcW w:w="704" w:type="dxa"/>
            <w:vAlign w:val="center"/>
          </w:tcPr>
          <w:p w14:paraId="01F83CC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2977" w:type="dxa"/>
            <w:vAlign w:val="center"/>
          </w:tcPr>
          <w:p w14:paraId="2B3FDDA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</w:t>
            </w:r>
          </w:p>
        </w:tc>
        <w:tc>
          <w:tcPr>
            <w:tcW w:w="6520" w:type="dxa"/>
            <w:vMerge/>
            <w:vAlign w:val="center"/>
          </w:tcPr>
          <w:p w14:paraId="4C264CB2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48695540" w14:textId="77777777" w:rsidTr="0036121C">
        <w:trPr>
          <w:trHeight w:val="936"/>
        </w:trPr>
        <w:tc>
          <w:tcPr>
            <w:tcW w:w="704" w:type="dxa"/>
            <w:vAlign w:val="center"/>
          </w:tcPr>
          <w:p w14:paraId="1B149A7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2977" w:type="dxa"/>
            <w:vAlign w:val="center"/>
          </w:tcPr>
          <w:p w14:paraId="0076521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數列與級數</w:t>
            </w:r>
          </w:p>
        </w:tc>
        <w:tc>
          <w:tcPr>
            <w:tcW w:w="6520" w:type="dxa"/>
            <w:vMerge/>
            <w:vAlign w:val="center"/>
          </w:tcPr>
          <w:p w14:paraId="56384985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1CEAC5CD" w14:textId="77777777" w:rsidTr="0036121C">
        <w:trPr>
          <w:trHeight w:val="1152"/>
        </w:trPr>
        <w:tc>
          <w:tcPr>
            <w:tcW w:w="704" w:type="dxa"/>
            <w:vAlign w:val="center"/>
          </w:tcPr>
          <w:p w14:paraId="0BF846B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2977" w:type="dxa"/>
            <w:vAlign w:val="center"/>
          </w:tcPr>
          <w:p w14:paraId="4EBD21A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平面幾何圖形</w:t>
            </w:r>
          </w:p>
        </w:tc>
        <w:tc>
          <w:tcPr>
            <w:tcW w:w="6520" w:type="dxa"/>
            <w:vMerge w:val="restart"/>
            <w:vAlign w:val="center"/>
          </w:tcPr>
          <w:p w14:paraId="48C21C8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三角形的基本性質</w:t>
            </w:r>
          </w:p>
          <w:p w14:paraId="59CE2F3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平行四邊形的基本性質正方形、長方形、箏形的基本性質</w:t>
            </w:r>
          </w:p>
          <w:p w14:paraId="55F6B46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梯形的基本性質</w:t>
            </w:r>
          </w:p>
          <w:p w14:paraId="74731E84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尺規作圖與幾何推理</w:t>
            </w:r>
          </w:p>
          <w:p w14:paraId="7F66A50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直角坐標系上兩點距離公式</w:t>
            </w:r>
          </w:p>
          <w:p w14:paraId="1FD5560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二次式的乘法公式</w:t>
            </w:r>
          </w:p>
          <w:p w14:paraId="56533B9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多項式的意義</w:t>
            </w:r>
          </w:p>
          <w:p w14:paraId="5220F368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多項式的四則運算</w:t>
            </w:r>
          </w:p>
          <w:p w14:paraId="5526AC6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</w:t>
            </w:r>
          </w:p>
          <w:p w14:paraId="47B1D50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因式分解的方法</w:t>
            </w:r>
          </w:p>
          <w:p w14:paraId="0C46119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一元二次方程式的意義</w:t>
            </w:r>
          </w:p>
          <w:p w14:paraId="771D692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一元二次方程式的解法與應用</w:t>
            </w:r>
          </w:p>
          <w:p w14:paraId="3E56F55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一次函數</w:t>
            </w:r>
          </w:p>
          <w:p w14:paraId="290E3F0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一次函數的圖形</w:t>
            </w:r>
          </w:p>
          <w:p w14:paraId="2293D8A4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統計資料處理</w:t>
            </w:r>
          </w:p>
        </w:tc>
      </w:tr>
      <w:tr w:rsidR="0036121C" w14:paraId="3C278249" w14:textId="77777777" w:rsidTr="0036121C">
        <w:trPr>
          <w:trHeight w:val="1152"/>
        </w:trPr>
        <w:tc>
          <w:tcPr>
            <w:tcW w:w="704" w:type="dxa"/>
            <w:vAlign w:val="center"/>
          </w:tcPr>
          <w:p w14:paraId="75B3021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2977" w:type="dxa"/>
            <w:vAlign w:val="center"/>
          </w:tcPr>
          <w:p w14:paraId="6F651F0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三角形的基本性質</w:t>
            </w:r>
          </w:p>
        </w:tc>
        <w:tc>
          <w:tcPr>
            <w:tcW w:w="6520" w:type="dxa"/>
            <w:vMerge/>
            <w:vAlign w:val="center"/>
          </w:tcPr>
          <w:p w14:paraId="15641933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2C6EA04F" w14:textId="77777777" w:rsidTr="0036121C">
        <w:trPr>
          <w:trHeight w:val="1152"/>
        </w:trPr>
        <w:tc>
          <w:tcPr>
            <w:tcW w:w="704" w:type="dxa"/>
            <w:vAlign w:val="center"/>
          </w:tcPr>
          <w:p w14:paraId="52BDEC4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14:paraId="5B1F589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平行與四邊形</w:t>
            </w:r>
          </w:p>
        </w:tc>
        <w:tc>
          <w:tcPr>
            <w:tcW w:w="6520" w:type="dxa"/>
            <w:vMerge/>
            <w:vAlign w:val="center"/>
          </w:tcPr>
          <w:p w14:paraId="5C971E34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123718A4" w14:textId="77777777" w:rsidTr="0036121C">
        <w:trPr>
          <w:trHeight w:val="1152"/>
        </w:trPr>
        <w:tc>
          <w:tcPr>
            <w:tcW w:w="704" w:type="dxa"/>
            <w:vAlign w:val="center"/>
          </w:tcPr>
          <w:p w14:paraId="2B08D45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2977" w:type="dxa"/>
            <w:vAlign w:val="center"/>
          </w:tcPr>
          <w:p w14:paraId="0CC7A93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線型函數</w:t>
            </w:r>
          </w:p>
        </w:tc>
        <w:tc>
          <w:tcPr>
            <w:tcW w:w="6520" w:type="dxa"/>
            <w:vMerge/>
            <w:vAlign w:val="center"/>
          </w:tcPr>
          <w:p w14:paraId="62B343A6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6D2351CD" w14:textId="77777777" w:rsidTr="0036121C">
        <w:trPr>
          <w:trHeight w:val="1152"/>
        </w:trPr>
        <w:tc>
          <w:tcPr>
            <w:tcW w:w="704" w:type="dxa"/>
            <w:vAlign w:val="center"/>
          </w:tcPr>
          <w:p w14:paraId="66B8FD2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2977" w:type="dxa"/>
            <w:vAlign w:val="center"/>
          </w:tcPr>
          <w:p w14:paraId="61D5B0F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統計資料處理</w:t>
            </w:r>
          </w:p>
        </w:tc>
        <w:tc>
          <w:tcPr>
            <w:tcW w:w="6520" w:type="dxa"/>
            <w:vMerge/>
            <w:vAlign w:val="center"/>
          </w:tcPr>
          <w:p w14:paraId="5DF3CD9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42200D05" w14:textId="77777777" w:rsidTr="0036121C">
        <w:trPr>
          <w:trHeight w:val="968"/>
        </w:trPr>
        <w:tc>
          <w:tcPr>
            <w:tcW w:w="704" w:type="dxa"/>
            <w:vAlign w:val="center"/>
          </w:tcPr>
          <w:p w14:paraId="7F0622E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977" w:type="dxa"/>
            <w:vAlign w:val="center"/>
          </w:tcPr>
          <w:p w14:paraId="2975D47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相似形</w:t>
            </w:r>
          </w:p>
        </w:tc>
        <w:tc>
          <w:tcPr>
            <w:tcW w:w="6520" w:type="dxa"/>
            <w:vMerge w:val="restart"/>
            <w:vAlign w:val="center"/>
          </w:tcPr>
          <w:p w14:paraId="28644C9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連比</w:t>
            </w:r>
          </w:p>
          <w:p w14:paraId="2ADA3C2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相似形</w:t>
            </w:r>
          </w:p>
          <w:p w14:paraId="1141959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三角形的相似性質</w:t>
            </w:r>
          </w:p>
          <w:p w14:paraId="1C14359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平行線截比例線段</w:t>
            </w:r>
          </w:p>
          <w:p w14:paraId="4E57DD9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相似直角三角形邊長比值的不變性</w:t>
            </w:r>
          </w:p>
          <w:p w14:paraId="1BDD6CA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圓弧長與扇形面積</w:t>
            </w:r>
          </w:p>
          <w:p w14:paraId="189E51B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圓的幾何性質</w:t>
            </w:r>
          </w:p>
          <w:p w14:paraId="0CB15D1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點、直線與圓的關係</w:t>
            </w:r>
          </w:p>
          <w:p w14:paraId="0B4C975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三角形的外心</w:t>
            </w:r>
          </w:p>
          <w:p w14:paraId="1455CA1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三角形的內心</w:t>
            </w:r>
          </w:p>
          <w:p w14:paraId="3A3732D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三角形的重心</w:t>
            </w:r>
          </w:p>
          <w:p w14:paraId="72A560E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證明的意義</w:t>
            </w:r>
          </w:p>
          <w:p w14:paraId="4D845E9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空間中的線與平面</w:t>
            </w:r>
          </w:p>
          <w:p w14:paraId="6A2E398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表面積與體積</w:t>
            </w:r>
          </w:p>
          <w:p w14:paraId="0A629684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二次函數的意義</w:t>
            </w:r>
          </w:p>
          <w:p w14:paraId="0334F39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二次函數的圖形與極值</w:t>
            </w:r>
          </w:p>
          <w:p w14:paraId="21718CB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統計數據的分布</w:t>
            </w:r>
          </w:p>
          <w:p w14:paraId="1C3056C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認識機率</w:t>
            </w:r>
          </w:p>
          <w:p w14:paraId="057DB1F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古典機率</w:t>
            </w:r>
          </w:p>
        </w:tc>
      </w:tr>
      <w:tr w:rsidR="0036121C" w14:paraId="1462AAA7" w14:textId="77777777" w:rsidTr="0036121C">
        <w:trPr>
          <w:trHeight w:val="969"/>
        </w:trPr>
        <w:tc>
          <w:tcPr>
            <w:tcW w:w="704" w:type="dxa"/>
            <w:vAlign w:val="center"/>
          </w:tcPr>
          <w:p w14:paraId="62A0419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2977" w:type="dxa"/>
            <w:vAlign w:val="center"/>
          </w:tcPr>
          <w:p w14:paraId="3900663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圓的性質</w:t>
            </w:r>
          </w:p>
        </w:tc>
        <w:tc>
          <w:tcPr>
            <w:tcW w:w="6520" w:type="dxa"/>
            <w:vMerge/>
            <w:vAlign w:val="center"/>
          </w:tcPr>
          <w:p w14:paraId="5F5D2BB5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4CA2CAB8" w14:textId="77777777" w:rsidTr="0036121C">
        <w:trPr>
          <w:trHeight w:val="968"/>
        </w:trPr>
        <w:tc>
          <w:tcPr>
            <w:tcW w:w="704" w:type="dxa"/>
            <w:vAlign w:val="center"/>
          </w:tcPr>
          <w:p w14:paraId="283991B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2977" w:type="dxa"/>
            <w:vAlign w:val="center"/>
          </w:tcPr>
          <w:p w14:paraId="439843D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推論證明與三角形的三心</w:t>
            </w:r>
          </w:p>
        </w:tc>
        <w:tc>
          <w:tcPr>
            <w:tcW w:w="6520" w:type="dxa"/>
            <w:vMerge/>
            <w:vAlign w:val="center"/>
          </w:tcPr>
          <w:p w14:paraId="4370777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5519514B" w14:textId="77777777" w:rsidTr="0036121C">
        <w:trPr>
          <w:trHeight w:val="969"/>
        </w:trPr>
        <w:tc>
          <w:tcPr>
            <w:tcW w:w="704" w:type="dxa"/>
            <w:vAlign w:val="center"/>
          </w:tcPr>
          <w:p w14:paraId="1C47D62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2977" w:type="dxa"/>
            <w:vAlign w:val="center"/>
          </w:tcPr>
          <w:p w14:paraId="0AF0545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二次函數</w:t>
            </w:r>
          </w:p>
        </w:tc>
        <w:tc>
          <w:tcPr>
            <w:tcW w:w="6520" w:type="dxa"/>
            <w:vMerge/>
            <w:vAlign w:val="center"/>
          </w:tcPr>
          <w:p w14:paraId="40DF6458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053BAF27" w14:textId="77777777" w:rsidTr="0036121C">
        <w:trPr>
          <w:trHeight w:val="968"/>
        </w:trPr>
        <w:tc>
          <w:tcPr>
            <w:tcW w:w="704" w:type="dxa"/>
            <w:vAlign w:val="center"/>
          </w:tcPr>
          <w:p w14:paraId="4750957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2977" w:type="dxa"/>
            <w:vAlign w:val="center"/>
          </w:tcPr>
          <w:p w14:paraId="7982F3A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立體圖形</w:t>
            </w:r>
          </w:p>
        </w:tc>
        <w:tc>
          <w:tcPr>
            <w:tcW w:w="6520" w:type="dxa"/>
            <w:vMerge/>
            <w:vAlign w:val="center"/>
          </w:tcPr>
          <w:p w14:paraId="2FCA76C8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2A235AE4" w14:textId="77777777" w:rsidTr="0036121C">
        <w:trPr>
          <w:trHeight w:val="969"/>
        </w:trPr>
        <w:tc>
          <w:tcPr>
            <w:tcW w:w="704" w:type="dxa"/>
            <w:vAlign w:val="center"/>
          </w:tcPr>
          <w:p w14:paraId="5DBB0C2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2977" w:type="dxa"/>
            <w:vAlign w:val="center"/>
          </w:tcPr>
          <w:p w14:paraId="6BCD718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統計與機率</w:t>
            </w:r>
          </w:p>
        </w:tc>
        <w:tc>
          <w:tcPr>
            <w:tcW w:w="6520" w:type="dxa"/>
            <w:vMerge/>
            <w:vAlign w:val="center"/>
          </w:tcPr>
          <w:p w14:paraId="438A426E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6121C" w14:paraId="296072AD" w14:textId="77777777" w:rsidTr="0036121C">
        <w:trPr>
          <w:trHeight w:val="969"/>
        </w:trPr>
        <w:tc>
          <w:tcPr>
            <w:tcW w:w="704" w:type="dxa"/>
            <w:vAlign w:val="center"/>
          </w:tcPr>
          <w:p w14:paraId="2962AA0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2977" w:type="dxa"/>
            <w:vAlign w:val="center"/>
          </w:tcPr>
          <w:p w14:paraId="4920C5A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連比例</w:t>
            </w:r>
          </w:p>
        </w:tc>
        <w:tc>
          <w:tcPr>
            <w:tcW w:w="6520" w:type="dxa"/>
            <w:vMerge/>
            <w:vAlign w:val="center"/>
          </w:tcPr>
          <w:p w14:paraId="094B509E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</w:tbl>
    <w:p w14:paraId="741C0FF1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【社會領域】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36121C" w14:paraId="31D8CBEC" w14:textId="77777777" w:rsidTr="0036121C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739C7A1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5505F4E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6091A65F" w14:textId="5A39FEBA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4EA883E5" w14:textId="0D095171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6FAFF60F" w14:textId="77777777" w:rsidTr="0036121C">
        <w:tc>
          <w:tcPr>
            <w:tcW w:w="703" w:type="dxa"/>
            <w:vAlign w:val="center"/>
          </w:tcPr>
          <w:p w14:paraId="6513ED8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488B66B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歷史</w:t>
            </w:r>
          </w:p>
        </w:tc>
        <w:tc>
          <w:tcPr>
            <w:tcW w:w="2156" w:type="dxa"/>
            <w:vAlign w:val="center"/>
          </w:tcPr>
          <w:p w14:paraId="26F0A08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基礎觀念</w:t>
            </w:r>
          </w:p>
        </w:tc>
        <w:tc>
          <w:tcPr>
            <w:tcW w:w="6520" w:type="dxa"/>
            <w:vAlign w:val="center"/>
          </w:tcPr>
          <w:p w14:paraId="784AFBE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紀年與分期、考古發掘與史前文化</w:t>
            </w:r>
          </w:p>
        </w:tc>
      </w:tr>
      <w:tr w:rsidR="0036121C" w14:paraId="42805BDF" w14:textId="77777777" w:rsidTr="0036121C">
        <w:tc>
          <w:tcPr>
            <w:tcW w:w="703" w:type="dxa"/>
            <w:vAlign w:val="center"/>
          </w:tcPr>
          <w:p w14:paraId="4C7F8F9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54B379B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451BC6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歷史考察</w:t>
            </w:r>
          </w:p>
        </w:tc>
        <w:tc>
          <w:tcPr>
            <w:tcW w:w="6520" w:type="dxa"/>
            <w:vAlign w:val="center"/>
          </w:tcPr>
          <w:p w14:paraId="4EB64BA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436933A4" w14:textId="77777777" w:rsidTr="0036121C">
        <w:tc>
          <w:tcPr>
            <w:tcW w:w="703" w:type="dxa"/>
            <w:vAlign w:val="center"/>
          </w:tcPr>
          <w:p w14:paraId="5151419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354D436C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02067B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</w:t>
            </w:r>
          </w:p>
        </w:tc>
        <w:tc>
          <w:tcPr>
            <w:tcW w:w="6520" w:type="dxa"/>
            <w:vAlign w:val="center"/>
          </w:tcPr>
          <w:p w14:paraId="2637BD6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早期、清帝國時期、日本帝國時期、當代</w:t>
            </w:r>
          </w:p>
        </w:tc>
      </w:tr>
      <w:tr w:rsidR="0036121C" w14:paraId="06FCD220" w14:textId="77777777" w:rsidTr="0036121C">
        <w:tc>
          <w:tcPr>
            <w:tcW w:w="703" w:type="dxa"/>
            <w:vAlign w:val="center"/>
          </w:tcPr>
          <w:p w14:paraId="35EEE8A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296032D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A8B830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從古典到傳統時代</w:t>
            </w:r>
          </w:p>
        </w:tc>
        <w:tc>
          <w:tcPr>
            <w:tcW w:w="6520" w:type="dxa"/>
            <w:vAlign w:val="center"/>
          </w:tcPr>
          <w:p w14:paraId="052F69D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0AF7CE49" w14:textId="77777777" w:rsidTr="0036121C">
        <w:tc>
          <w:tcPr>
            <w:tcW w:w="703" w:type="dxa"/>
            <w:vAlign w:val="center"/>
          </w:tcPr>
          <w:p w14:paraId="2C15C7C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5A9CFE72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3DA324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從傳統到現代</w:t>
            </w:r>
          </w:p>
        </w:tc>
        <w:tc>
          <w:tcPr>
            <w:tcW w:w="6520" w:type="dxa"/>
            <w:vAlign w:val="center"/>
          </w:tcPr>
          <w:p w14:paraId="74C6D57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66F36D2E" w14:textId="77777777" w:rsidTr="0036121C">
        <w:tc>
          <w:tcPr>
            <w:tcW w:w="703" w:type="dxa"/>
            <w:vAlign w:val="center"/>
          </w:tcPr>
          <w:p w14:paraId="5FB185D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386828E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EF4F3D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現代國家的興起</w:t>
            </w:r>
          </w:p>
        </w:tc>
        <w:tc>
          <w:tcPr>
            <w:tcW w:w="6520" w:type="dxa"/>
            <w:vAlign w:val="center"/>
          </w:tcPr>
          <w:p w14:paraId="663A559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6E13814D" w14:textId="77777777" w:rsidTr="0036121C">
        <w:tc>
          <w:tcPr>
            <w:tcW w:w="703" w:type="dxa"/>
            <w:vAlign w:val="center"/>
          </w:tcPr>
          <w:p w14:paraId="23B0754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4390BA8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2519A2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當代東亞的局勢</w:t>
            </w:r>
          </w:p>
        </w:tc>
        <w:tc>
          <w:tcPr>
            <w:tcW w:w="6520" w:type="dxa"/>
            <w:vAlign w:val="center"/>
          </w:tcPr>
          <w:p w14:paraId="2F9479DB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2E729F82" w14:textId="77777777" w:rsidTr="0036121C">
        <w:tc>
          <w:tcPr>
            <w:tcW w:w="703" w:type="dxa"/>
            <w:vAlign w:val="center"/>
          </w:tcPr>
          <w:p w14:paraId="7D54506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269D226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53DE96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古代文化的遺產</w:t>
            </w:r>
          </w:p>
        </w:tc>
        <w:tc>
          <w:tcPr>
            <w:tcW w:w="6520" w:type="dxa"/>
            <w:vAlign w:val="center"/>
          </w:tcPr>
          <w:p w14:paraId="632F739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20C5FF6C" w14:textId="77777777" w:rsidTr="0036121C">
        <w:tc>
          <w:tcPr>
            <w:tcW w:w="703" w:type="dxa"/>
            <w:vAlign w:val="center"/>
          </w:tcPr>
          <w:p w14:paraId="7E5DF96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76366AB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0A9D20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近代世界的變革</w:t>
            </w:r>
          </w:p>
        </w:tc>
        <w:tc>
          <w:tcPr>
            <w:tcW w:w="6520" w:type="dxa"/>
            <w:vAlign w:val="center"/>
          </w:tcPr>
          <w:p w14:paraId="2DEAB8F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1ACFEB9D" w14:textId="77777777" w:rsidTr="0036121C">
        <w:tc>
          <w:tcPr>
            <w:tcW w:w="703" w:type="dxa"/>
            <w:vAlign w:val="center"/>
          </w:tcPr>
          <w:p w14:paraId="66E48E1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692C5A4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5913A8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現代世界的發展</w:t>
            </w:r>
          </w:p>
        </w:tc>
        <w:tc>
          <w:tcPr>
            <w:tcW w:w="6520" w:type="dxa"/>
            <w:vAlign w:val="center"/>
          </w:tcPr>
          <w:p w14:paraId="0F7F1ED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589323CA" w14:textId="77777777" w:rsidTr="0036121C">
        <w:tc>
          <w:tcPr>
            <w:tcW w:w="703" w:type="dxa"/>
            <w:vAlign w:val="center"/>
          </w:tcPr>
          <w:p w14:paraId="358EAC0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 w:val="restart"/>
            <w:vAlign w:val="center"/>
          </w:tcPr>
          <w:p w14:paraId="3D6A085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地理</w:t>
            </w:r>
          </w:p>
        </w:tc>
        <w:tc>
          <w:tcPr>
            <w:tcW w:w="2156" w:type="dxa"/>
            <w:vAlign w:val="center"/>
          </w:tcPr>
          <w:p w14:paraId="27CDF6B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基本概念</w:t>
            </w:r>
          </w:p>
        </w:tc>
        <w:tc>
          <w:tcPr>
            <w:tcW w:w="6520" w:type="dxa"/>
            <w:vAlign w:val="center"/>
          </w:tcPr>
          <w:p w14:paraId="237EF53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7ED85B10" w14:textId="77777777" w:rsidTr="0036121C">
        <w:tc>
          <w:tcPr>
            <w:tcW w:w="703" w:type="dxa"/>
            <w:vAlign w:val="center"/>
          </w:tcPr>
          <w:p w14:paraId="1FD0D52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12</w:t>
            </w:r>
          </w:p>
        </w:tc>
        <w:tc>
          <w:tcPr>
            <w:tcW w:w="822" w:type="dxa"/>
            <w:vMerge/>
            <w:vAlign w:val="center"/>
          </w:tcPr>
          <w:p w14:paraId="298EDC31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8A20A2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地理議題</w:t>
            </w:r>
          </w:p>
        </w:tc>
        <w:tc>
          <w:tcPr>
            <w:tcW w:w="6520" w:type="dxa"/>
            <w:vAlign w:val="center"/>
          </w:tcPr>
          <w:p w14:paraId="2B6C8FE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507C5798" w14:textId="77777777" w:rsidTr="0036121C">
        <w:tc>
          <w:tcPr>
            <w:tcW w:w="703" w:type="dxa"/>
            <w:vAlign w:val="center"/>
          </w:tcPr>
          <w:p w14:paraId="4D2A7B1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822" w:type="dxa"/>
            <w:vMerge/>
            <w:vAlign w:val="center"/>
          </w:tcPr>
          <w:p w14:paraId="71C0C1A6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AD1E22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田野觀察</w:t>
            </w:r>
          </w:p>
        </w:tc>
        <w:tc>
          <w:tcPr>
            <w:tcW w:w="6520" w:type="dxa"/>
            <w:vAlign w:val="center"/>
          </w:tcPr>
          <w:p w14:paraId="30DE054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0E350A73" w14:textId="77777777" w:rsidTr="0036121C">
        <w:tc>
          <w:tcPr>
            <w:tcW w:w="703" w:type="dxa"/>
            <w:vAlign w:val="center"/>
          </w:tcPr>
          <w:p w14:paraId="4D3938E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822" w:type="dxa"/>
            <w:vMerge/>
            <w:vAlign w:val="center"/>
          </w:tcPr>
          <w:p w14:paraId="2749228E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BBF683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臺灣</w:t>
            </w:r>
          </w:p>
        </w:tc>
        <w:tc>
          <w:tcPr>
            <w:tcW w:w="6520" w:type="dxa"/>
            <w:vAlign w:val="center"/>
          </w:tcPr>
          <w:p w14:paraId="390EF76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世界中的臺灣、地形與海域、氣候與水文、人口與文化、產業發展、區域發展、地名文化、農業與食品安全</w:t>
            </w:r>
          </w:p>
        </w:tc>
      </w:tr>
      <w:tr w:rsidR="0036121C" w14:paraId="738F041B" w14:textId="77777777" w:rsidTr="0036121C">
        <w:tc>
          <w:tcPr>
            <w:tcW w:w="703" w:type="dxa"/>
            <w:vAlign w:val="center"/>
          </w:tcPr>
          <w:p w14:paraId="23DE98D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822" w:type="dxa"/>
            <w:vMerge/>
            <w:vAlign w:val="center"/>
          </w:tcPr>
          <w:p w14:paraId="2D998F3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7185CD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中國</w:t>
            </w:r>
          </w:p>
        </w:tc>
        <w:tc>
          <w:tcPr>
            <w:tcW w:w="6520" w:type="dxa"/>
            <w:vAlign w:val="center"/>
          </w:tcPr>
          <w:p w14:paraId="7CAF7E5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779FEFE8" w14:textId="77777777" w:rsidTr="0036121C">
        <w:tc>
          <w:tcPr>
            <w:tcW w:w="703" w:type="dxa"/>
            <w:vAlign w:val="center"/>
          </w:tcPr>
          <w:p w14:paraId="509D6FA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822" w:type="dxa"/>
            <w:vMerge/>
            <w:vAlign w:val="center"/>
          </w:tcPr>
          <w:p w14:paraId="42D22108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249F9F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大洋洲與兩極地區</w:t>
            </w:r>
          </w:p>
        </w:tc>
        <w:tc>
          <w:tcPr>
            <w:tcW w:w="6520" w:type="dxa"/>
            <w:vAlign w:val="center"/>
          </w:tcPr>
          <w:p w14:paraId="3B06315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4EE5B480" w14:textId="77777777" w:rsidTr="0036121C">
        <w:tc>
          <w:tcPr>
            <w:tcW w:w="703" w:type="dxa"/>
            <w:vAlign w:val="center"/>
          </w:tcPr>
          <w:p w14:paraId="4DC3898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822" w:type="dxa"/>
            <w:vMerge/>
            <w:vAlign w:val="center"/>
          </w:tcPr>
          <w:p w14:paraId="618099D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D9AF97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季風亞洲</w:t>
            </w:r>
          </w:p>
        </w:tc>
        <w:tc>
          <w:tcPr>
            <w:tcW w:w="6520" w:type="dxa"/>
            <w:vAlign w:val="center"/>
          </w:tcPr>
          <w:p w14:paraId="5D60353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東北亞、東南亞和南亞</w:t>
            </w:r>
          </w:p>
        </w:tc>
      </w:tr>
      <w:tr w:rsidR="0036121C" w14:paraId="0E8F4199" w14:textId="77777777" w:rsidTr="0036121C">
        <w:tc>
          <w:tcPr>
            <w:tcW w:w="703" w:type="dxa"/>
            <w:vAlign w:val="center"/>
          </w:tcPr>
          <w:p w14:paraId="5D4A7D9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822" w:type="dxa"/>
            <w:vMerge/>
            <w:vAlign w:val="center"/>
          </w:tcPr>
          <w:p w14:paraId="0DC0398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26BFB0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西亞與北非</w:t>
            </w:r>
          </w:p>
        </w:tc>
        <w:tc>
          <w:tcPr>
            <w:tcW w:w="6520" w:type="dxa"/>
            <w:vAlign w:val="center"/>
          </w:tcPr>
          <w:p w14:paraId="238A5FF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6B45583E" w14:textId="77777777" w:rsidTr="0036121C">
        <w:tc>
          <w:tcPr>
            <w:tcW w:w="703" w:type="dxa"/>
            <w:vAlign w:val="center"/>
          </w:tcPr>
          <w:p w14:paraId="28D4420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822" w:type="dxa"/>
            <w:vMerge/>
            <w:vAlign w:val="center"/>
          </w:tcPr>
          <w:p w14:paraId="71F5F044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30F45D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漠南非洲</w:t>
            </w:r>
          </w:p>
        </w:tc>
        <w:tc>
          <w:tcPr>
            <w:tcW w:w="6520" w:type="dxa"/>
            <w:vAlign w:val="center"/>
          </w:tcPr>
          <w:p w14:paraId="7BF7C4C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0EF8CD5D" w14:textId="77777777" w:rsidTr="0036121C">
        <w:tc>
          <w:tcPr>
            <w:tcW w:w="703" w:type="dxa"/>
            <w:vAlign w:val="center"/>
          </w:tcPr>
          <w:p w14:paraId="5E5731C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822" w:type="dxa"/>
            <w:vMerge/>
            <w:vAlign w:val="center"/>
          </w:tcPr>
          <w:p w14:paraId="521E088B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53AA77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歐洲與俄羅斯</w:t>
            </w:r>
          </w:p>
        </w:tc>
        <w:tc>
          <w:tcPr>
            <w:tcW w:w="6520" w:type="dxa"/>
            <w:vAlign w:val="center"/>
          </w:tcPr>
          <w:p w14:paraId="1638754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5228BBDA" w14:textId="77777777" w:rsidTr="0036121C">
        <w:tc>
          <w:tcPr>
            <w:tcW w:w="703" w:type="dxa"/>
            <w:vAlign w:val="center"/>
          </w:tcPr>
          <w:p w14:paraId="79EB19B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822" w:type="dxa"/>
            <w:vMerge/>
            <w:vAlign w:val="center"/>
          </w:tcPr>
          <w:p w14:paraId="4B464C6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2EE243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美洲</w:t>
            </w:r>
          </w:p>
        </w:tc>
        <w:tc>
          <w:tcPr>
            <w:tcW w:w="6520" w:type="dxa"/>
            <w:vAlign w:val="center"/>
          </w:tcPr>
          <w:p w14:paraId="64EF7A0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4DE92B1E" w14:textId="77777777" w:rsidTr="0036121C">
        <w:tc>
          <w:tcPr>
            <w:tcW w:w="703" w:type="dxa"/>
            <w:vAlign w:val="center"/>
          </w:tcPr>
          <w:p w14:paraId="7FBB703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822" w:type="dxa"/>
            <w:vMerge w:val="restart"/>
            <w:vAlign w:val="center"/>
          </w:tcPr>
          <w:p w14:paraId="54CCB58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公民與社會</w:t>
            </w:r>
          </w:p>
        </w:tc>
        <w:tc>
          <w:tcPr>
            <w:tcW w:w="2156" w:type="dxa"/>
            <w:vAlign w:val="center"/>
          </w:tcPr>
          <w:p w14:paraId="4C5D349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公民議題</w:t>
            </w:r>
          </w:p>
        </w:tc>
        <w:tc>
          <w:tcPr>
            <w:tcW w:w="6520" w:type="dxa"/>
            <w:vAlign w:val="center"/>
          </w:tcPr>
          <w:p w14:paraId="2EB76D4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03F445D4" w14:textId="77777777" w:rsidTr="0036121C">
        <w:tc>
          <w:tcPr>
            <w:tcW w:w="703" w:type="dxa"/>
            <w:vAlign w:val="center"/>
          </w:tcPr>
          <w:p w14:paraId="0527F95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822" w:type="dxa"/>
            <w:vMerge/>
            <w:vAlign w:val="center"/>
          </w:tcPr>
          <w:p w14:paraId="69943C9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6E648F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公民身分認同及社群</w:t>
            </w:r>
          </w:p>
        </w:tc>
        <w:tc>
          <w:tcPr>
            <w:tcW w:w="6520" w:type="dxa"/>
            <w:vAlign w:val="center"/>
          </w:tcPr>
          <w:p w14:paraId="7B8A4E8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35AB4417" w14:textId="77777777" w:rsidTr="0036121C">
        <w:tc>
          <w:tcPr>
            <w:tcW w:w="703" w:type="dxa"/>
            <w:vAlign w:val="center"/>
          </w:tcPr>
          <w:p w14:paraId="4D2777F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822" w:type="dxa"/>
            <w:vMerge/>
            <w:vAlign w:val="center"/>
          </w:tcPr>
          <w:p w14:paraId="7E31D6B4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906BC6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社會生活的組織及制度</w:t>
            </w:r>
          </w:p>
        </w:tc>
        <w:tc>
          <w:tcPr>
            <w:tcW w:w="6520" w:type="dxa"/>
            <w:vAlign w:val="center"/>
          </w:tcPr>
          <w:p w14:paraId="72760BB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2A66CED9" w14:textId="77777777" w:rsidTr="0036121C">
        <w:tc>
          <w:tcPr>
            <w:tcW w:w="703" w:type="dxa"/>
            <w:vAlign w:val="center"/>
          </w:tcPr>
          <w:p w14:paraId="0660089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822" w:type="dxa"/>
            <w:vMerge/>
            <w:vAlign w:val="center"/>
          </w:tcPr>
          <w:p w14:paraId="2D36415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575F1E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社會的運作、治理及參與實踐</w:t>
            </w:r>
          </w:p>
        </w:tc>
        <w:tc>
          <w:tcPr>
            <w:tcW w:w="6520" w:type="dxa"/>
            <w:vAlign w:val="center"/>
          </w:tcPr>
          <w:p w14:paraId="68CD634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  <w:tr w:rsidR="0036121C" w14:paraId="44EB9269" w14:textId="77777777" w:rsidTr="0036121C">
        <w:tc>
          <w:tcPr>
            <w:tcW w:w="703" w:type="dxa"/>
            <w:vAlign w:val="center"/>
          </w:tcPr>
          <w:p w14:paraId="451A20D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822" w:type="dxa"/>
            <w:vMerge/>
            <w:vAlign w:val="center"/>
          </w:tcPr>
          <w:p w14:paraId="1669BE6E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1BB46E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民主社會的理想及現實</w:t>
            </w:r>
          </w:p>
        </w:tc>
        <w:tc>
          <w:tcPr>
            <w:tcW w:w="6520" w:type="dxa"/>
            <w:vAlign w:val="center"/>
          </w:tcPr>
          <w:p w14:paraId="389B9D3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</w:p>
        </w:tc>
      </w:tr>
    </w:tbl>
    <w:p w14:paraId="1C5CA5E8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【自然領域】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36121C" w14:paraId="356FC710" w14:textId="77777777" w:rsidTr="0036121C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29556E0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4D69E31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7239FB8A" w14:textId="7D002556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3573C595" w14:textId="23D1D248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35C21A7F" w14:textId="77777777" w:rsidTr="0036121C">
        <w:tc>
          <w:tcPr>
            <w:tcW w:w="703" w:type="dxa"/>
            <w:vAlign w:val="center"/>
          </w:tcPr>
          <w:p w14:paraId="1C3473C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234B41C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</w:t>
            </w:r>
          </w:p>
        </w:tc>
        <w:tc>
          <w:tcPr>
            <w:tcW w:w="2156" w:type="dxa"/>
            <w:vAlign w:val="center"/>
          </w:tcPr>
          <w:p w14:paraId="19278C5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生物體的構造與功能</w:t>
            </w:r>
          </w:p>
        </w:tc>
        <w:tc>
          <w:tcPr>
            <w:tcW w:w="6520" w:type="dxa"/>
            <w:vAlign w:val="center"/>
          </w:tcPr>
          <w:p w14:paraId="1D3FDB0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細胞的構造與功能、動植物體的構造與功能、生物體內的恆定性與調節</w:t>
            </w:r>
          </w:p>
        </w:tc>
      </w:tr>
      <w:tr w:rsidR="0036121C" w14:paraId="0EA79339" w14:textId="77777777" w:rsidTr="0036121C">
        <w:tc>
          <w:tcPr>
            <w:tcW w:w="703" w:type="dxa"/>
            <w:vAlign w:val="center"/>
          </w:tcPr>
          <w:p w14:paraId="727F3F2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16A65373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5DC109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生物與環境</w:t>
            </w:r>
          </w:p>
        </w:tc>
        <w:tc>
          <w:tcPr>
            <w:tcW w:w="6520" w:type="dxa"/>
            <w:vAlign w:val="center"/>
          </w:tcPr>
          <w:p w14:paraId="6674171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生物間的交互作用、生物與環境的交互作用</w:t>
            </w:r>
          </w:p>
        </w:tc>
      </w:tr>
      <w:tr w:rsidR="0036121C" w14:paraId="00BA7954" w14:textId="77777777" w:rsidTr="0036121C">
        <w:tc>
          <w:tcPr>
            <w:tcW w:w="703" w:type="dxa"/>
            <w:vAlign w:val="center"/>
          </w:tcPr>
          <w:p w14:paraId="4DC7A37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 w:val="restart"/>
            <w:vAlign w:val="center"/>
          </w:tcPr>
          <w:p w14:paraId="7ED6B0B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理化</w:t>
            </w:r>
          </w:p>
        </w:tc>
        <w:tc>
          <w:tcPr>
            <w:tcW w:w="2156" w:type="dxa"/>
            <w:vAlign w:val="center"/>
          </w:tcPr>
          <w:p w14:paraId="0D466E4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物質的組成與特性</w:t>
            </w:r>
          </w:p>
        </w:tc>
        <w:tc>
          <w:tcPr>
            <w:tcW w:w="6520" w:type="dxa"/>
            <w:vAlign w:val="center"/>
          </w:tcPr>
          <w:p w14:paraId="6201F90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物質組成與元素的週期性、物質的形態、性質及分類</w:t>
            </w:r>
          </w:p>
        </w:tc>
      </w:tr>
      <w:tr w:rsidR="0036121C" w14:paraId="0296F428" w14:textId="77777777" w:rsidTr="0036121C">
        <w:tc>
          <w:tcPr>
            <w:tcW w:w="703" w:type="dxa"/>
            <w:vAlign w:val="center"/>
          </w:tcPr>
          <w:p w14:paraId="0CCD367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37AEB6B1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4A36C4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能量的形式、轉換及流動</w:t>
            </w:r>
          </w:p>
        </w:tc>
        <w:tc>
          <w:tcPr>
            <w:tcW w:w="6520" w:type="dxa"/>
            <w:vAlign w:val="center"/>
          </w:tcPr>
          <w:p w14:paraId="4C7D6BA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能量的形式與轉換、溫度與熱量、生物體內的能量與代謝、生態系中能量的流動與轉換</w:t>
            </w:r>
          </w:p>
        </w:tc>
      </w:tr>
      <w:tr w:rsidR="0036121C" w14:paraId="132764B6" w14:textId="77777777" w:rsidTr="0036121C">
        <w:tc>
          <w:tcPr>
            <w:tcW w:w="703" w:type="dxa"/>
            <w:vAlign w:val="center"/>
          </w:tcPr>
          <w:p w14:paraId="74214EE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3CDC48B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9DD59D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物質的結構與功能</w:t>
            </w:r>
          </w:p>
        </w:tc>
        <w:tc>
          <w:tcPr>
            <w:tcW w:w="6520" w:type="dxa"/>
            <w:vAlign w:val="center"/>
          </w:tcPr>
          <w:p w14:paraId="6BCC2EA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物質的分離與鑑定、物質的結構與功能</w:t>
            </w:r>
          </w:p>
        </w:tc>
      </w:tr>
      <w:tr w:rsidR="0036121C" w14:paraId="0EE8D941" w14:textId="77777777" w:rsidTr="0036121C">
        <w:tc>
          <w:tcPr>
            <w:tcW w:w="703" w:type="dxa"/>
            <w:vAlign w:val="center"/>
          </w:tcPr>
          <w:p w14:paraId="694F671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2631E5EC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34E540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物質系統</w:t>
            </w:r>
          </w:p>
        </w:tc>
        <w:tc>
          <w:tcPr>
            <w:tcW w:w="6520" w:type="dxa"/>
            <w:vAlign w:val="center"/>
          </w:tcPr>
          <w:p w14:paraId="4EFB048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自然界的尺度與單位、力與運動、氣體、宇宙與天體</w:t>
            </w:r>
          </w:p>
        </w:tc>
      </w:tr>
      <w:tr w:rsidR="0036121C" w14:paraId="2F5D0989" w14:textId="77777777" w:rsidTr="0036121C">
        <w:tc>
          <w:tcPr>
            <w:tcW w:w="703" w:type="dxa"/>
            <w:vAlign w:val="center"/>
          </w:tcPr>
          <w:p w14:paraId="15E346E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4B24509B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B351CB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物質的反應、平衡及製造</w:t>
            </w:r>
          </w:p>
        </w:tc>
        <w:tc>
          <w:tcPr>
            <w:tcW w:w="6520" w:type="dxa"/>
            <w:vAlign w:val="center"/>
          </w:tcPr>
          <w:p w14:paraId="4F9C044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物質反應規律、水溶液中的變化、氧化與還原反應、酸鹼反應、化學反應速率與平衡、有機化合物的性質、製備及反應</w:t>
            </w:r>
          </w:p>
        </w:tc>
      </w:tr>
      <w:tr w:rsidR="0036121C" w14:paraId="0D66DF03" w14:textId="77777777" w:rsidTr="0036121C">
        <w:tc>
          <w:tcPr>
            <w:tcW w:w="703" w:type="dxa"/>
            <w:vAlign w:val="center"/>
          </w:tcPr>
          <w:p w14:paraId="1F439C4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7FCED23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C62747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自然界的現象與交互作用</w:t>
            </w:r>
          </w:p>
        </w:tc>
        <w:tc>
          <w:tcPr>
            <w:tcW w:w="6520" w:type="dxa"/>
            <w:vAlign w:val="center"/>
          </w:tcPr>
          <w:p w14:paraId="281A20B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波動、光及聲音、萬有引力、電磁現象</w:t>
            </w:r>
          </w:p>
        </w:tc>
      </w:tr>
      <w:tr w:rsidR="0036121C" w14:paraId="1D5FD566" w14:textId="77777777" w:rsidTr="0036121C">
        <w:tc>
          <w:tcPr>
            <w:tcW w:w="703" w:type="dxa"/>
            <w:vAlign w:val="center"/>
          </w:tcPr>
          <w:p w14:paraId="3E861C3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 w:val="restart"/>
            <w:vAlign w:val="center"/>
          </w:tcPr>
          <w:p w14:paraId="39F5C85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地球科學</w:t>
            </w:r>
          </w:p>
        </w:tc>
        <w:tc>
          <w:tcPr>
            <w:tcW w:w="2156" w:type="dxa"/>
            <w:vAlign w:val="center"/>
          </w:tcPr>
          <w:p w14:paraId="25149C2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地球環境</w:t>
            </w:r>
          </w:p>
        </w:tc>
        <w:tc>
          <w:tcPr>
            <w:tcW w:w="6520" w:type="dxa"/>
            <w:vAlign w:val="center"/>
          </w:tcPr>
          <w:p w14:paraId="22B88F58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組成地球的物質、地球與太空、生物圈的組成</w:t>
            </w:r>
          </w:p>
        </w:tc>
      </w:tr>
      <w:tr w:rsidR="0036121C" w14:paraId="302D5811" w14:textId="77777777" w:rsidTr="0036121C">
        <w:tc>
          <w:tcPr>
            <w:tcW w:w="703" w:type="dxa"/>
            <w:vAlign w:val="center"/>
          </w:tcPr>
          <w:p w14:paraId="008A66E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589A4BE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25F18F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演化與延續</w:t>
            </w:r>
          </w:p>
        </w:tc>
        <w:tc>
          <w:tcPr>
            <w:tcW w:w="6520" w:type="dxa"/>
            <w:vAlign w:val="center"/>
          </w:tcPr>
          <w:p w14:paraId="054E841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生殖與遺傳、演化、生物多樣性</w:t>
            </w:r>
          </w:p>
        </w:tc>
      </w:tr>
      <w:tr w:rsidR="0036121C" w14:paraId="1DC86F25" w14:textId="77777777" w:rsidTr="0036121C">
        <w:tc>
          <w:tcPr>
            <w:tcW w:w="703" w:type="dxa"/>
            <w:vAlign w:val="center"/>
          </w:tcPr>
          <w:p w14:paraId="5698607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2EBA6CDC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0EEF86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地球的歷史</w:t>
            </w:r>
          </w:p>
        </w:tc>
        <w:tc>
          <w:tcPr>
            <w:tcW w:w="6520" w:type="dxa"/>
            <w:vAlign w:val="center"/>
          </w:tcPr>
          <w:p w14:paraId="2ABC885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地層與化石</w:t>
            </w:r>
          </w:p>
        </w:tc>
      </w:tr>
      <w:tr w:rsidR="0036121C" w14:paraId="7ED7F850" w14:textId="77777777" w:rsidTr="0036121C">
        <w:tc>
          <w:tcPr>
            <w:tcW w:w="703" w:type="dxa"/>
            <w:vAlign w:val="center"/>
          </w:tcPr>
          <w:p w14:paraId="2D5C8E9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52D83BBC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C786A3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變動的地球</w:t>
            </w:r>
          </w:p>
        </w:tc>
        <w:tc>
          <w:tcPr>
            <w:tcW w:w="6520" w:type="dxa"/>
            <w:vAlign w:val="center"/>
          </w:tcPr>
          <w:p w14:paraId="428EE44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地表與地殼的變動、天氣與氣候變化、海水的運動、晝夜與季節</w:t>
            </w:r>
          </w:p>
        </w:tc>
      </w:tr>
      <w:tr w:rsidR="0036121C" w14:paraId="301F97E9" w14:textId="77777777" w:rsidTr="0036121C">
        <w:tc>
          <w:tcPr>
            <w:tcW w:w="703" w:type="dxa"/>
            <w:vAlign w:val="center"/>
          </w:tcPr>
          <w:p w14:paraId="3E5E1FA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822" w:type="dxa"/>
            <w:vMerge/>
            <w:vAlign w:val="center"/>
          </w:tcPr>
          <w:p w14:paraId="3BF2318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563B1C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資源與永續發展</w:t>
            </w:r>
          </w:p>
        </w:tc>
        <w:tc>
          <w:tcPr>
            <w:tcW w:w="6520" w:type="dxa"/>
            <w:vAlign w:val="center"/>
          </w:tcPr>
          <w:p w14:paraId="6CA925E4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永續發展與資源的利用、氣候變遷之影響與調適、能源的開發與利用</w:t>
            </w:r>
          </w:p>
        </w:tc>
      </w:tr>
      <w:tr w:rsidR="0036121C" w14:paraId="28ACE88F" w14:textId="77777777" w:rsidTr="0036121C">
        <w:tc>
          <w:tcPr>
            <w:tcW w:w="703" w:type="dxa"/>
            <w:vAlign w:val="center"/>
          </w:tcPr>
          <w:p w14:paraId="471397B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822" w:type="dxa"/>
            <w:vMerge/>
            <w:vAlign w:val="center"/>
          </w:tcPr>
          <w:p w14:paraId="55AF372B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DE44C9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科學、科技、社會及人文</w:t>
            </w:r>
          </w:p>
        </w:tc>
        <w:tc>
          <w:tcPr>
            <w:tcW w:w="6520" w:type="dxa"/>
            <w:vAlign w:val="center"/>
          </w:tcPr>
          <w:p w14:paraId="7A5BA3E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科學、技術及社會的互動關係、科學發展的歷史、科學在生活中的應用、天然災害與防治、環境汙染與防治</w:t>
            </w:r>
          </w:p>
        </w:tc>
      </w:tr>
      <w:tr w:rsidR="0036121C" w14:paraId="120E9A27" w14:textId="77777777" w:rsidTr="0036121C">
        <w:tc>
          <w:tcPr>
            <w:tcW w:w="703" w:type="dxa"/>
            <w:vAlign w:val="center"/>
          </w:tcPr>
          <w:p w14:paraId="0C627C9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822" w:type="dxa"/>
            <w:vAlign w:val="center"/>
          </w:tcPr>
          <w:p w14:paraId="39532B2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跨科主題</w:t>
            </w:r>
          </w:p>
        </w:tc>
        <w:tc>
          <w:tcPr>
            <w:tcW w:w="2156" w:type="dxa"/>
            <w:vAlign w:val="center"/>
          </w:tcPr>
          <w:p w14:paraId="46ABB07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20" w:type="dxa"/>
            <w:vAlign w:val="center"/>
          </w:tcPr>
          <w:p w14:paraId="439DA6A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從原子到宇宙、能量與能源、全球氣候變遷與調適</w:t>
            </w:r>
          </w:p>
        </w:tc>
      </w:tr>
    </w:tbl>
    <w:p w14:paraId="553C82F6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【藝術領域】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36121C" w14:paraId="1226E111" w14:textId="77777777" w:rsidTr="0036121C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0D790B6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77B862A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77ADD637" w14:textId="56EEA9DC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630000AD" w14:textId="59BB836F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5BAD8EE6" w14:textId="77777777" w:rsidTr="0036121C">
        <w:tc>
          <w:tcPr>
            <w:tcW w:w="703" w:type="dxa"/>
            <w:vAlign w:val="center"/>
          </w:tcPr>
          <w:p w14:paraId="7894F21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0518169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</w:t>
            </w:r>
          </w:p>
        </w:tc>
        <w:tc>
          <w:tcPr>
            <w:tcW w:w="2156" w:type="dxa"/>
            <w:vAlign w:val="center"/>
          </w:tcPr>
          <w:p w14:paraId="0826E47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歌唱演奏</w:t>
            </w:r>
          </w:p>
        </w:tc>
        <w:tc>
          <w:tcPr>
            <w:tcW w:w="6520" w:type="dxa"/>
            <w:vAlign w:val="center"/>
          </w:tcPr>
          <w:p w14:paraId="57185624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歌唱、演奏、樂理、指揮</w:t>
            </w:r>
          </w:p>
        </w:tc>
      </w:tr>
      <w:tr w:rsidR="0036121C" w14:paraId="174DE81D" w14:textId="77777777" w:rsidTr="0036121C">
        <w:tc>
          <w:tcPr>
            <w:tcW w:w="703" w:type="dxa"/>
            <w:vAlign w:val="center"/>
          </w:tcPr>
          <w:p w14:paraId="2C4FF60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129D6626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B6474D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創作展現</w:t>
            </w:r>
          </w:p>
        </w:tc>
        <w:tc>
          <w:tcPr>
            <w:tcW w:w="6520" w:type="dxa"/>
            <w:vAlign w:val="center"/>
          </w:tcPr>
          <w:p w14:paraId="17E3C01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創作手法、作曲、其他</w:t>
            </w:r>
          </w:p>
        </w:tc>
      </w:tr>
      <w:tr w:rsidR="0036121C" w14:paraId="0D0A09B3" w14:textId="77777777" w:rsidTr="0036121C">
        <w:tc>
          <w:tcPr>
            <w:tcW w:w="703" w:type="dxa"/>
            <w:vAlign w:val="center"/>
          </w:tcPr>
          <w:p w14:paraId="22CE504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5FEA0F3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1570BB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審美感知與理解</w:t>
            </w:r>
          </w:p>
        </w:tc>
        <w:tc>
          <w:tcPr>
            <w:tcW w:w="6520" w:type="dxa"/>
            <w:vAlign w:val="center"/>
          </w:tcPr>
          <w:p w14:paraId="73688D8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西洋音樂各時期風格與作品、二十世紀與之後的音樂風格與作品、臺灣音樂、世界音樂</w:t>
            </w:r>
          </w:p>
        </w:tc>
      </w:tr>
      <w:tr w:rsidR="0036121C" w14:paraId="7DD309BC" w14:textId="77777777" w:rsidTr="0036121C">
        <w:tc>
          <w:tcPr>
            <w:tcW w:w="703" w:type="dxa"/>
            <w:vAlign w:val="center"/>
          </w:tcPr>
          <w:p w14:paraId="5522DE8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35C004B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280A26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音樂類型</w:t>
            </w:r>
          </w:p>
        </w:tc>
        <w:tc>
          <w:tcPr>
            <w:tcW w:w="6520" w:type="dxa"/>
            <w:vAlign w:val="center"/>
          </w:tcPr>
          <w:p w14:paraId="3BE2909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聲樂、器樂、複合型(歌劇、音樂劇等)、其他</w:t>
            </w:r>
          </w:p>
        </w:tc>
      </w:tr>
      <w:tr w:rsidR="0036121C" w14:paraId="15502B7F" w14:textId="77777777" w:rsidTr="0036121C">
        <w:tc>
          <w:tcPr>
            <w:tcW w:w="703" w:type="dxa"/>
            <w:vAlign w:val="center"/>
          </w:tcPr>
          <w:p w14:paraId="242979A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 w:val="restart"/>
            <w:vAlign w:val="center"/>
          </w:tcPr>
          <w:p w14:paraId="662D5F1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視覺藝術</w:t>
            </w:r>
          </w:p>
        </w:tc>
        <w:tc>
          <w:tcPr>
            <w:tcW w:w="2156" w:type="dxa"/>
            <w:vAlign w:val="center"/>
          </w:tcPr>
          <w:p w14:paraId="75A5407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創作表現</w:t>
            </w:r>
          </w:p>
        </w:tc>
        <w:tc>
          <w:tcPr>
            <w:tcW w:w="6520" w:type="dxa"/>
            <w:vAlign w:val="center"/>
          </w:tcPr>
          <w:p w14:paraId="5FA6993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色彩理論、美的形式原理與構成原理、表現技法</w:t>
            </w:r>
          </w:p>
        </w:tc>
      </w:tr>
      <w:tr w:rsidR="0036121C" w14:paraId="7F3B12E6" w14:textId="77777777" w:rsidTr="0036121C">
        <w:tc>
          <w:tcPr>
            <w:tcW w:w="703" w:type="dxa"/>
            <w:vAlign w:val="center"/>
          </w:tcPr>
          <w:p w14:paraId="3FA1652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2DB3587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455EDB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藝術欣賞</w:t>
            </w:r>
          </w:p>
        </w:tc>
        <w:tc>
          <w:tcPr>
            <w:tcW w:w="6520" w:type="dxa"/>
            <w:vAlign w:val="center"/>
          </w:tcPr>
          <w:p w14:paraId="7F8DD541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藝術鑑賞、藝術風格(藝術史)、區域及各族群藝術</w:t>
            </w:r>
          </w:p>
        </w:tc>
      </w:tr>
      <w:tr w:rsidR="0036121C" w14:paraId="20957A51" w14:textId="77777777" w:rsidTr="0036121C">
        <w:tc>
          <w:tcPr>
            <w:tcW w:w="703" w:type="dxa"/>
            <w:vAlign w:val="center"/>
          </w:tcPr>
          <w:p w14:paraId="1850FE2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7633476E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8482D5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</w:t>
            </w:r>
          </w:p>
        </w:tc>
        <w:tc>
          <w:tcPr>
            <w:tcW w:w="6520" w:type="dxa"/>
            <w:vAlign w:val="center"/>
          </w:tcPr>
          <w:p w14:paraId="73FF34B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校本課程、主題式課程、展覽策劃與執行、設計思考、生活美感、藝術工作者與藝術生涯規劃</w:t>
            </w:r>
          </w:p>
        </w:tc>
      </w:tr>
      <w:tr w:rsidR="0036121C" w14:paraId="201F1E6E" w14:textId="77777777" w:rsidTr="0036121C">
        <w:tc>
          <w:tcPr>
            <w:tcW w:w="703" w:type="dxa"/>
            <w:vAlign w:val="center"/>
          </w:tcPr>
          <w:p w14:paraId="21822D6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 w:val="restart"/>
            <w:vAlign w:val="center"/>
          </w:tcPr>
          <w:p w14:paraId="1A146FD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表演藝術</w:t>
            </w:r>
          </w:p>
        </w:tc>
        <w:tc>
          <w:tcPr>
            <w:tcW w:w="2156" w:type="dxa"/>
            <w:vAlign w:val="center"/>
          </w:tcPr>
          <w:p w14:paraId="1D1306B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戲劇</w:t>
            </w:r>
          </w:p>
        </w:tc>
        <w:tc>
          <w:tcPr>
            <w:tcW w:w="6520" w:type="dxa"/>
            <w:vAlign w:val="center"/>
          </w:tcPr>
          <w:p w14:paraId="7DF44C4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戲劇史、啞/默劇、說唱藝術、傳統戲曲、偶戲、音樂劇/音樂歌舞劇、說故事劇場、教育戲劇、其他</w:t>
            </w:r>
          </w:p>
        </w:tc>
      </w:tr>
      <w:tr w:rsidR="0036121C" w14:paraId="1F47395D" w14:textId="77777777" w:rsidTr="0036121C">
        <w:tc>
          <w:tcPr>
            <w:tcW w:w="703" w:type="dxa"/>
            <w:vAlign w:val="center"/>
          </w:tcPr>
          <w:p w14:paraId="64DF255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5FA79FF1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CAFC2A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舞蹈</w:t>
            </w:r>
          </w:p>
        </w:tc>
        <w:tc>
          <w:tcPr>
            <w:tcW w:w="6520" w:type="dxa"/>
            <w:vAlign w:val="center"/>
          </w:tcPr>
          <w:p w14:paraId="3DCA91C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芭蕾、現代舞、街舞、臺灣舞蹈、世界舞蹈、其他</w:t>
            </w:r>
          </w:p>
        </w:tc>
      </w:tr>
      <w:tr w:rsidR="0036121C" w14:paraId="059BA127" w14:textId="77777777" w:rsidTr="0036121C">
        <w:tc>
          <w:tcPr>
            <w:tcW w:w="703" w:type="dxa"/>
            <w:vAlign w:val="center"/>
          </w:tcPr>
          <w:p w14:paraId="0A7075D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176640EE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8D5B34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表演元素</w:t>
            </w:r>
          </w:p>
        </w:tc>
        <w:tc>
          <w:tcPr>
            <w:tcW w:w="6520" w:type="dxa"/>
            <w:vAlign w:val="center"/>
          </w:tcPr>
          <w:p w14:paraId="494C0D0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肢體、聲音、其他</w:t>
            </w:r>
          </w:p>
        </w:tc>
      </w:tr>
      <w:tr w:rsidR="0036121C" w14:paraId="37A6B52E" w14:textId="77777777" w:rsidTr="0036121C">
        <w:tc>
          <w:tcPr>
            <w:tcW w:w="703" w:type="dxa"/>
            <w:vAlign w:val="center"/>
          </w:tcPr>
          <w:p w14:paraId="3E821B1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205593C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E13E88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展演與實務</w:t>
            </w:r>
          </w:p>
        </w:tc>
        <w:tc>
          <w:tcPr>
            <w:tcW w:w="6520" w:type="dxa"/>
            <w:vAlign w:val="center"/>
          </w:tcPr>
          <w:p w14:paraId="2CCC60B4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劇場行政、編劇、導演、展演場地、舞臺、燈光、化妝、服裝、道具、其他</w:t>
            </w:r>
          </w:p>
        </w:tc>
      </w:tr>
      <w:tr w:rsidR="0036121C" w14:paraId="75CC0244" w14:textId="77777777" w:rsidTr="0036121C">
        <w:tc>
          <w:tcPr>
            <w:tcW w:w="703" w:type="dxa"/>
            <w:vAlign w:val="center"/>
          </w:tcPr>
          <w:p w14:paraId="11816CB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2D35965B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BD5F90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影視多媒體</w:t>
            </w:r>
          </w:p>
        </w:tc>
        <w:tc>
          <w:tcPr>
            <w:tcW w:w="6520" w:type="dxa"/>
            <w:vAlign w:val="center"/>
          </w:tcPr>
          <w:p w14:paraId="5ABF3E7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(新)媒體、電影/微電影、其他</w:t>
            </w:r>
          </w:p>
        </w:tc>
      </w:tr>
    </w:tbl>
    <w:p w14:paraId="2E7FDCE5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【綜合領域】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36121C" w14:paraId="65D4C210" w14:textId="77777777" w:rsidTr="0036121C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7A4A102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0659EB7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42AB7C5D" w14:textId="593BDC14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47CEDBD8" w14:textId="1FCF66CC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2077F16F" w14:textId="77777777" w:rsidTr="0036121C">
        <w:tc>
          <w:tcPr>
            <w:tcW w:w="703" w:type="dxa"/>
            <w:vAlign w:val="center"/>
          </w:tcPr>
          <w:p w14:paraId="2E25BC6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78BA688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家政</w:t>
            </w:r>
          </w:p>
        </w:tc>
        <w:tc>
          <w:tcPr>
            <w:tcW w:w="2156" w:type="dxa"/>
            <w:vAlign w:val="center"/>
          </w:tcPr>
          <w:p w14:paraId="2249E9F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</w:t>
            </w:r>
          </w:p>
        </w:tc>
        <w:tc>
          <w:tcPr>
            <w:tcW w:w="6520" w:type="dxa"/>
            <w:vAlign w:val="center"/>
          </w:tcPr>
          <w:p w14:paraId="08A0EB8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飲食行為與綠色生活、食物資源的管理與運用、食品安全</w:t>
            </w:r>
          </w:p>
        </w:tc>
      </w:tr>
      <w:tr w:rsidR="0036121C" w14:paraId="2820311F" w14:textId="77777777" w:rsidTr="0036121C">
        <w:tc>
          <w:tcPr>
            <w:tcW w:w="703" w:type="dxa"/>
            <w:vAlign w:val="center"/>
          </w:tcPr>
          <w:p w14:paraId="3475F7E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2CB53FAD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0589E0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衣著</w:t>
            </w:r>
          </w:p>
        </w:tc>
        <w:tc>
          <w:tcPr>
            <w:tcW w:w="6520" w:type="dxa"/>
            <w:vAlign w:val="center"/>
          </w:tcPr>
          <w:p w14:paraId="22B22AC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服飾管理與消費、服飾與形象管理、織品的生活運用</w:t>
            </w:r>
          </w:p>
        </w:tc>
      </w:tr>
      <w:tr w:rsidR="0036121C" w14:paraId="364C72E1" w14:textId="77777777" w:rsidTr="0036121C">
        <w:tc>
          <w:tcPr>
            <w:tcW w:w="703" w:type="dxa"/>
            <w:vAlign w:val="center"/>
          </w:tcPr>
          <w:p w14:paraId="76092C6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58F969D2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735D879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生活管理</w:t>
            </w:r>
          </w:p>
        </w:tc>
        <w:tc>
          <w:tcPr>
            <w:tcW w:w="6520" w:type="dxa"/>
            <w:vAlign w:val="center"/>
          </w:tcPr>
          <w:p w14:paraId="6628623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個人及家庭資源管理、生活文化與禮儀、創意生活與美化</w:t>
            </w:r>
          </w:p>
        </w:tc>
      </w:tr>
      <w:tr w:rsidR="0036121C" w14:paraId="14234303" w14:textId="77777777" w:rsidTr="0036121C">
        <w:tc>
          <w:tcPr>
            <w:tcW w:w="703" w:type="dxa"/>
            <w:vAlign w:val="center"/>
          </w:tcPr>
          <w:p w14:paraId="2DE0039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05F6C09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6479A6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</w:t>
            </w:r>
          </w:p>
        </w:tc>
        <w:tc>
          <w:tcPr>
            <w:tcW w:w="6520" w:type="dxa"/>
            <w:vAlign w:val="center"/>
          </w:tcPr>
          <w:p w14:paraId="63FA4B2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家人關係與經營、家庭的發展變化與調適、家庭活動與共學、家庭文化與傳承</w:t>
            </w:r>
          </w:p>
        </w:tc>
      </w:tr>
      <w:tr w:rsidR="0036121C" w14:paraId="011682D1" w14:textId="77777777" w:rsidTr="0036121C">
        <w:tc>
          <w:tcPr>
            <w:tcW w:w="703" w:type="dxa"/>
            <w:vAlign w:val="center"/>
          </w:tcPr>
          <w:p w14:paraId="27CE840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 w:val="restart"/>
            <w:vAlign w:val="center"/>
          </w:tcPr>
          <w:p w14:paraId="38AB2A3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</w:t>
            </w:r>
          </w:p>
        </w:tc>
        <w:tc>
          <w:tcPr>
            <w:tcW w:w="2156" w:type="dxa"/>
            <w:vAlign w:val="center"/>
          </w:tcPr>
          <w:p w14:paraId="197FC35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童軍精神與發展</w:t>
            </w:r>
          </w:p>
        </w:tc>
        <w:tc>
          <w:tcPr>
            <w:tcW w:w="6520" w:type="dxa"/>
            <w:vAlign w:val="center"/>
          </w:tcPr>
          <w:p w14:paraId="5574E8D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童軍精神、童軍發展</w:t>
            </w:r>
          </w:p>
        </w:tc>
      </w:tr>
      <w:tr w:rsidR="0036121C" w14:paraId="07699682" w14:textId="77777777" w:rsidTr="0036121C">
        <w:tc>
          <w:tcPr>
            <w:tcW w:w="703" w:type="dxa"/>
            <w:vAlign w:val="center"/>
          </w:tcPr>
          <w:p w14:paraId="57A52A3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7650A8B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F645C2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服務行善與多元關懷</w:t>
            </w:r>
          </w:p>
        </w:tc>
        <w:tc>
          <w:tcPr>
            <w:tcW w:w="6520" w:type="dxa"/>
            <w:vAlign w:val="center"/>
          </w:tcPr>
          <w:p w14:paraId="1830138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服務精神、服務行善</w:t>
            </w:r>
          </w:p>
        </w:tc>
      </w:tr>
      <w:tr w:rsidR="0036121C" w14:paraId="009B60B1" w14:textId="77777777" w:rsidTr="0036121C">
        <w:tc>
          <w:tcPr>
            <w:tcW w:w="703" w:type="dxa"/>
            <w:vAlign w:val="center"/>
          </w:tcPr>
          <w:p w14:paraId="78BFADC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/>
            <w:vAlign w:val="center"/>
          </w:tcPr>
          <w:p w14:paraId="6C79854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CF9D4A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戶外生活與休閒知能</w:t>
            </w:r>
          </w:p>
        </w:tc>
        <w:tc>
          <w:tcPr>
            <w:tcW w:w="6520" w:type="dxa"/>
            <w:vAlign w:val="center"/>
          </w:tcPr>
          <w:p w14:paraId="67609E0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野外旅行知能、露營知能、戶外休閒活動知能</w:t>
            </w:r>
          </w:p>
        </w:tc>
      </w:tr>
      <w:tr w:rsidR="0036121C" w14:paraId="522BC0A6" w14:textId="77777777" w:rsidTr="0036121C">
        <w:tc>
          <w:tcPr>
            <w:tcW w:w="703" w:type="dxa"/>
            <w:vAlign w:val="center"/>
          </w:tcPr>
          <w:p w14:paraId="63D91A3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1ACFF831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7713BE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環境保育與永續</w:t>
            </w:r>
          </w:p>
        </w:tc>
        <w:tc>
          <w:tcPr>
            <w:tcW w:w="6520" w:type="dxa"/>
            <w:vAlign w:val="center"/>
          </w:tcPr>
          <w:p w14:paraId="0E14E1E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野外與生活的環保、休閒遊憩與環保實踐、戶外休閒與環境議題</w:t>
            </w:r>
          </w:p>
        </w:tc>
      </w:tr>
      <w:tr w:rsidR="0036121C" w14:paraId="49C036EE" w14:textId="77777777" w:rsidTr="0036121C">
        <w:tc>
          <w:tcPr>
            <w:tcW w:w="703" w:type="dxa"/>
            <w:vAlign w:val="center"/>
          </w:tcPr>
          <w:p w14:paraId="738A76B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 w:val="restart"/>
            <w:vAlign w:val="center"/>
          </w:tcPr>
          <w:p w14:paraId="21F8751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輔導</w:t>
            </w:r>
          </w:p>
        </w:tc>
        <w:tc>
          <w:tcPr>
            <w:tcW w:w="2156" w:type="dxa"/>
            <w:vAlign w:val="center"/>
          </w:tcPr>
          <w:p w14:paraId="53AFBDF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自我成長</w:t>
            </w:r>
          </w:p>
        </w:tc>
        <w:tc>
          <w:tcPr>
            <w:tcW w:w="6520" w:type="dxa"/>
            <w:vAlign w:val="center"/>
          </w:tcPr>
          <w:p w14:paraId="18171D00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自我探索與尊重差異、青少年身心發展與自我成長、珍視與尊重生命</w:t>
            </w:r>
          </w:p>
        </w:tc>
      </w:tr>
      <w:tr w:rsidR="0036121C" w14:paraId="66609CC3" w14:textId="77777777" w:rsidTr="0036121C">
        <w:tc>
          <w:tcPr>
            <w:tcW w:w="703" w:type="dxa"/>
            <w:vAlign w:val="center"/>
          </w:tcPr>
          <w:p w14:paraId="6E082F8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4B157EC1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2AC8B0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自主學習</w:t>
            </w:r>
          </w:p>
        </w:tc>
        <w:tc>
          <w:tcPr>
            <w:tcW w:w="6520" w:type="dxa"/>
            <w:vAlign w:val="center"/>
          </w:tcPr>
          <w:p w14:paraId="005F62D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自我管理與態度培養、學習策略與資源、高層次學習與多元學習</w:t>
            </w:r>
          </w:p>
        </w:tc>
      </w:tr>
      <w:tr w:rsidR="0036121C" w14:paraId="23C80047" w14:textId="77777777" w:rsidTr="0036121C">
        <w:tc>
          <w:tcPr>
            <w:tcW w:w="703" w:type="dxa"/>
            <w:vAlign w:val="center"/>
          </w:tcPr>
          <w:p w14:paraId="236AD4F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5477B2DC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F157A3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</w:t>
            </w:r>
          </w:p>
        </w:tc>
        <w:tc>
          <w:tcPr>
            <w:tcW w:w="6520" w:type="dxa"/>
            <w:vAlign w:val="center"/>
          </w:tcPr>
          <w:p w14:paraId="45FD5C3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生涯發展與個人統整、教育進路與職涯發展、生涯規劃、抉擇與行動</w:t>
            </w:r>
          </w:p>
        </w:tc>
      </w:tr>
      <w:tr w:rsidR="0036121C" w14:paraId="2C1B5205" w14:textId="77777777" w:rsidTr="0036121C">
        <w:tc>
          <w:tcPr>
            <w:tcW w:w="703" w:type="dxa"/>
            <w:vAlign w:val="center"/>
          </w:tcPr>
          <w:p w14:paraId="4ABF6A2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22" w:type="dxa"/>
            <w:vMerge/>
            <w:vAlign w:val="center"/>
          </w:tcPr>
          <w:p w14:paraId="2C582326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4C493F7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生活適應</w:t>
            </w:r>
          </w:p>
        </w:tc>
        <w:tc>
          <w:tcPr>
            <w:tcW w:w="6520" w:type="dxa"/>
            <w:vAlign w:val="center"/>
          </w:tcPr>
          <w:p w14:paraId="3115CB0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正向習性與心理調適、生活困擾與危機因應、人際關係與團體互動、性別與多元文化社會</w:t>
            </w:r>
          </w:p>
        </w:tc>
      </w:tr>
    </w:tbl>
    <w:p w14:paraId="2F26484F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【科技領域】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822"/>
        <w:gridCol w:w="2156"/>
        <w:gridCol w:w="6520"/>
      </w:tblGrid>
      <w:tr w:rsidR="0036121C" w14:paraId="5F7832AF" w14:textId="77777777" w:rsidTr="0036121C">
        <w:trPr>
          <w:trHeight w:val="70"/>
        </w:trPr>
        <w:tc>
          <w:tcPr>
            <w:tcW w:w="703" w:type="dxa"/>
            <w:shd w:val="clear" w:color="auto" w:fill="F2F2F2"/>
            <w:vAlign w:val="center"/>
          </w:tcPr>
          <w:p w14:paraId="6AB0C4E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1A7ED9B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56" w:type="dxa"/>
            <w:shd w:val="clear" w:color="auto" w:fill="F2F2F2"/>
            <w:vAlign w:val="center"/>
          </w:tcPr>
          <w:p w14:paraId="0F7213E0" w14:textId="27547F30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2671312C" w14:textId="23615F60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0384BB81" w14:textId="77777777" w:rsidTr="0036121C">
        <w:tc>
          <w:tcPr>
            <w:tcW w:w="703" w:type="dxa"/>
            <w:vAlign w:val="center"/>
          </w:tcPr>
          <w:p w14:paraId="213D4B4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</w:t>
            </w:r>
          </w:p>
        </w:tc>
        <w:tc>
          <w:tcPr>
            <w:tcW w:w="822" w:type="dxa"/>
            <w:vMerge w:val="restart"/>
            <w:vAlign w:val="center"/>
          </w:tcPr>
          <w:p w14:paraId="477DA54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</w:t>
            </w:r>
          </w:p>
        </w:tc>
        <w:tc>
          <w:tcPr>
            <w:tcW w:w="2156" w:type="dxa"/>
            <w:vAlign w:val="center"/>
          </w:tcPr>
          <w:p w14:paraId="3A398CE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演算法</w:t>
            </w:r>
          </w:p>
        </w:tc>
        <w:tc>
          <w:tcPr>
            <w:tcW w:w="6520" w:type="dxa"/>
            <w:vAlign w:val="center"/>
          </w:tcPr>
          <w:p w14:paraId="4CDE342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演算法基本概念(問題解析、流程控制)、陣列資料結構的概念與應用、基本演算法的介紹(搜尋、排序)、陣列程式設計實作</w:t>
            </w:r>
          </w:p>
        </w:tc>
      </w:tr>
      <w:tr w:rsidR="0036121C" w14:paraId="7C63E540" w14:textId="77777777" w:rsidTr="0036121C">
        <w:tc>
          <w:tcPr>
            <w:tcW w:w="703" w:type="dxa"/>
            <w:vAlign w:val="center"/>
          </w:tcPr>
          <w:p w14:paraId="161A01D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22" w:type="dxa"/>
            <w:vMerge/>
            <w:vAlign w:val="center"/>
          </w:tcPr>
          <w:p w14:paraId="7EC5042B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73DE3E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程式設計</w:t>
            </w:r>
          </w:p>
        </w:tc>
        <w:tc>
          <w:tcPr>
            <w:tcW w:w="6520" w:type="dxa"/>
            <w:vAlign w:val="center"/>
          </w:tcPr>
          <w:p w14:paraId="4C5BE4C3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程式語言基本概念、功能及應用、結構化程式設計(循序、選擇、重複)、模組化程式設計的概念、模組化程式設計與問題解決實作</w:t>
            </w:r>
          </w:p>
        </w:tc>
      </w:tr>
      <w:tr w:rsidR="0036121C" w14:paraId="7F39A511" w14:textId="77777777" w:rsidTr="0036121C">
        <w:tc>
          <w:tcPr>
            <w:tcW w:w="703" w:type="dxa"/>
            <w:vAlign w:val="center"/>
          </w:tcPr>
          <w:p w14:paraId="1F5ED55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22" w:type="dxa"/>
            <w:vMerge/>
            <w:vAlign w:val="center"/>
          </w:tcPr>
          <w:p w14:paraId="142B45A5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B1B990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系統平臺</w:t>
            </w:r>
          </w:p>
        </w:tc>
        <w:tc>
          <w:tcPr>
            <w:tcW w:w="6520" w:type="dxa"/>
            <w:vAlign w:val="center"/>
          </w:tcPr>
          <w:p w14:paraId="4CCA12A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系統平臺重要發展與演進、系統平臺之組成架構與基本運作原理、</w:t>
            </w:r>
          </w:p>
        </w:tc>
      </w:tr>
      <w:tr w:rsidR="0036121C" w14:paraId="41BDAD16" w14:textId="77777777" w:rsidTr="0036121C">
        <w:tc>
          <w:tcPr>
            <w:tcW w:w="703" w:type="dxa"/>
            <w:vAlign w:val="center"/>
          </w:tcPr>
          <w:p w14:paraId="617E83A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22" w:type="dxa"/>
            <w:vMerge/>
            <w:vAlign w:val="center"/>
          </w:tcPr>
          <w:p w14:paraId="4D8E391F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43239B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資料表示、處理及分析</w:t>
            </w:r>
          </w:p>
        </w:tc>
        <w:tc>
          <w:tcPr>
            <w:tcW w:w="6520" w:type="dxa"/>
            <w:vAlign w:val="center"/>
          </w:tcPr>
          <w:p w14:paraId="75DD316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資料處理應用專題、個人資料保護、網路技術的概念與介紹、網路服務的概念與介紹、資料數位化之原理與方法、數位資料的表示方法、資料處理概念與方法</w:t>
            </w:r>
          </w:p>
        </w:tc>
      </w:tr>
      <w:tr w:rsidR="0036121C" w14:paraId="44BA22C5" w14:textId="77777777" w:rsidTr="0036121C">
        <w:tc>
          <w:tcPr>
            <w:tcW w:w="703" w:type="dxa"/>
            <w:vAlign w:val="center"/>
          </w:tcPr>
          <w:p w14:paraId="24A60F5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22" w:type="dxa"/>
            <w:vMerge/>
            <w:vAlign w:val="center"/>
          </w:tcPr>
          <w:p w14:paraId="11A6669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37BAE30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資訊科技應用</w:t>
            </w:r>
          </w:p>
        </w:tc>
        <w:tc>
          <w:tcPr>
            <w:tcW w:w="6520" w:type="dxa"/>
            <w:vAlign w:val="center"/>
          </w:tcPr>
          <w:p w14:paraId="17A58A5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資訊科技合理使用原則、資訊安全、資訊科技應用專題(程式設計)、資訊科技應用專題(多媒體)</w:t>
            </w:r>
          </w:p>
        </w:tc>
      </w:tr>
      <w:tr w:rsidR="0036121C" w14:paraId="7344F344" w14:textId="77777777" w:rsidTr="0036121C">
        <w:tc>
          <w:tcPr>
            <w:tcW w:w="703" w:type="dxa"/>
            <w:vAlign w:val="center"/>
          </w:tcPr>
          <w:p w14:paraId="33D4CB9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22" w:type="dxa"/>
            <w:vMerge/>
            <w:vAlign w:val="center"/>
          </w:tcPr>
          <w:p w14:paraId="05941D08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1E2A6AF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資訊科技與人類社會</w:t>
            </w:r>
          </w:p>
        </w:tc>
        <w:tc>
          <w:tcPr>
            <w:tcW w:w="6520" w:type="dxa"/>
            <w:vAlign w:val="center"/>
          </w:tcPr>
          <w:p w14:paraId="5C563BE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媒體與資訊科技相關社會議題、資訊倫理與法律、資訊科技對人類生活之影響、常見資訊產業的特性與種類</w:t>
            </w:r>
          </w:p>
        </w:tc>
      </w:tr>
      <w:tr w:rsidR="0036121C" w14:paraId="057A0430" w14:textId="77777777" w:rsidTr="0036121C">
        <w:tc>
          <w:tcPr>
            <w:tcW w:w="703" w:type="dxa"/>
            <w:vAlign w:val="center"/>
          </w:tcPr>
          <w:p w14:paraId="37357C8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22" w:type="dxa"/>
            <w:vMerge w:val="restart"/>
            <w:vAlign w:val="center"/>
          </w:tcPr>
          <w:p w14:paraId="19F8090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生活科技</w:t>
            </w:r>
          </w:p>
        </w:tc>
        <w:tc>
          <w:tcPr>
            <w:tcW w:w="2156" w:type="dxa"/>
            <w:vAlign w:val="center"/>
          </w:tcPr>
          <w:p w14:paraId="5B7E7F1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科技的本質</w:t>
            </w:r>
          </w:p>
        </w:tc>
        <w:tc>
          <w:tcPr>
            <w:tcW w:w="6520" w:type="dxa"/>
            <w:vAlign w:val="center"/>
          </w:tcPr>
          <w:p w14:paraId="1EDFA999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科技的起源與演進、科技的系統</w:t>
            </w:r>
          </w:p>
        </w:tc>
      </w:tr>
      <w:tr w:rsidR="0036121C" w14:paraId="66FC0C3A" w14:textId="77777777" w:rsidTr="0036121C">
        <w:tc>
          <w:tcPr>
            <w:tcW w:w="703" w:type="dxa"/>
            <w:vAlign w:val="center"/>
          </w:tcPr>
          <w:p w14:paraId="34FF625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22" w:type="dxa"/>
            <w:vMerge/>
            <w:vAlign w:val="center"/>
          </w:tcPr>
          <w:p w14:paraId="446D0A62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26343CD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設計與製作</w:t>
            </w:r>
          </w:p>
        </w:tc>
        <w:tc>
          <w:tcPr>
            <w:tcW w:w="6520" w:type="dxa"/>
            <w:vAlign w:val="center"/>
          </w:tcPr>
          <w:p w14:paraId="3D0E41B8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創意思考的方法、設計圖的繪製、手工具的操作與使用、設計的流程、材料的選用與加工處理、常用的機具操作與使用、產品的設計與發展</w:t>
            </w:r>
          </w:p>
        </w:tc>
      </w:tr>
      <w:tr w:rsidR="0036121C" w14:paraId="5B9ABCBA" w14:textId="77777777" w:rsidTr="0036121C">
        <w:tc>
          <w:tcPr>
            <w:tcW w:w="703" w:type="dxa"/>
            <w:vAlign w:val="center"/>
          </w:tcPr>
          <w:p w14:paraId="6E6E0BD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822" w:type="dxa"/>
            <w:vMerge/>
            <w:vAlign w:val="center"/>
          </w:tcPr>
          <w:p w14:paraId="0EC96A9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6009CAF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科技的應用</w:t>
            </w:r>
          </w:p>
        </w:tc>
        <w:tc>
          <w:tcPr>
            <w:tcW w:w="6520" w:type="dxa"/>
            <w:vAlign w:val="center"/>
          </w:tcPr>
          <w:p w14:paraId="72BD19FC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日常科技產品的選用、日常科技產品的機構與結構應用、日常科技產品的保養與維護、日常科技產品的能源與動力應用、日常科技產品的電與控制應用、新興科技的應用</w:t>
            </w:r>
          </w:p>
        </w:tc>
      </w:tr>
      <w:tr w:rsidR="0036121C" w14:paraId="36A196FD" w14:textId="77777777" w:rsidTr="0036121C">
        <w:tc>
          <w:tcPr>
            <w:tcW w:w="703" w:type="dxa"/>
            <w:vAlign w:val="center"/>
          </w:tcPr>
          <w:p w14:paraId="5A46FFD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22" w:type="dxa"/>
            <w:vMerge/>
            <w:vAlign w:val="center"/>
          </w:tcPr>
          <w:p w14:paraId="70D2A862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5C92B568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科技與社會</w:t>
            </w:r>
          </w:p>
        </w:tc>
        <w:tc>
          <w:tcPr>
            <w:tcW w:w="6520" w:type="dxa"/>
            <w:vAlign w:val="center"/>
          </w:tcPr>
          <w:p w14:paraId="03462FB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科技與社會的互動關係、科技對社會與環境的影響、科技議題的探究、科技產業的發展</w:t>
            </w:r>
          </w:p>
        </w:tc>
      </w:tr>
      <w:tr w:rsidR="0036121C" w14:paraId="199B8E10" w14:textId="77777777" w:rsidTr="0036121C">
        <w:tc>
          <w:tcPr>
            <w:tcW w:w="703" w:type="dxa"/>
            <w:vAlign w:val="center"/>
          </w:tcPr>
          <w:p w14:paraId="702A260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22" w:type="dxa"/>
            <w:vMerge/>
            <w:vAlign w:val="center"/>
          </w:tcPr>
          <w:p w14:paraId="1C01BB47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56" w:type="dxa"/>
            <w:vAlign w:val="center"/>
          </w:tcPr>
          <w:p w14:paraId="097A597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</w:t>
            </w:r>
          </w:p>
        </w:tc>
        <w:tc>
          <w:tcPr>
            <w:tcW w:w="6520" w:type="dxa"/>
            <w:vAlign w:val="center"/>
          </w:tcPr>
          <w:p w14:paraId="35C675A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生涯發展與個人統整、教育進路與職涯發展、生涯規劃、抉擇與行動</w:t>
            </w:r>
          </w:p>
        </w:tc>
      </w:tr>
    </w:tbl>
    <w:p w14:paraId="7FA5B6DA" w14:textId="77777777" w:rsidR="0036121C" w:rsidRDefault="0036121C" w:rsidP="0036121C">
      <w:pPr>
        <w:widowControl/>
        <w:spacing w:beforeLines="100" w:before="240" w:afterLines="10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【健體領域】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840"/>
        <w:gridCol w:w="2139"/>
        <w:gridCol w:w="6520"/>
      </w:tblGrid>
      <w:tr w:rsidR="0036121C" w14:paraId="386A4A44" w14:textId="77777777" w:rsidTr="0036121C">
        <w:trPr>
          <w:trHeight w:val="70"/>
        </w:trPr>
        <w:tc>
          <w:tcPr>
            <w:tcW w:w="702" w:type="dxa"/>
            <w:shd w:val="clear" w:color="auto" w:fill="F2F2F2"/>
            <w:vAlign w:val="center"/>
          </w:tcPr>
          <w:p w14:paraId="1364CE7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840" w:type="dxa"/>
            <w:shd w:val="clear" w:color="auto" w:fill="F2F2F2"/>
            <w:vAlign w:val="center"/>
          </w:tcPr>
          <w:p w14:paraId="1D52970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2139" w:type="dxa"/>
            <w:shd w:val="clear" w:color="auto" w:fill="F2F2F2"/>
            <w:vAlign w:val="center"/>
          </w:tcPr>
          <w:p w14:paraId="0477FC66" w14:textId="26D2EA82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核心</w:t>
            </w:r>
            <w:r w:rsidR="0036121C">
              <w:rPr>
                <w:rFonts w:ascii="標楷體" w:eastAsia="標楷體" w:hAnsi="標楷體" w:cs="標楷體"/>
              </w:rPr>
              <w:t>概念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0A1A9246" w14:textId="14C9DC5A" w:rsidR="0036121C" w:rsidRDefault="002F6224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</w:t>
            </w:r>
            <w:r>
              <w:rPr>
                <w:rFonts w:ascii="標楷體" w:eastAsia="標楷體" w:hAnsi="標楷體" w:cs="標楷體"/>
              </w:rPr>
              <w:t>內容</w:t>
            </w:r>
          </w:p>
        </w:tc>
      </w:tr>
      <w:tr w:rsidR="0036121C" w14:paraId="068A719C" w14:textId="77777777" w:rsidTr="0036121C">
        <w:tc>
          <w:tcPr>
            <w:tcW w:w="702" w:type="dxa"/>
            <w:vAlign w:val="center"/>
          </w:tcPr>
          <w:p w14:paraId="60AFED7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 w14:paraId="5834E09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健康教育</w:t>
            </w:r>
          </w:p>
        </w:tc>
        <w:tc>
          <w:tcPr>
            <w:tcW w:w="2139" w:type="dxa"/>
            <w:vAlign w:val="center"/>
          </w:tcPr>
          <w:p w14:paraId="7F99DBB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生長、發展與體適能</w:t>
            </w:r>
          </w:p>
        </w:tc>
        <w:tc>
          <w:tcPr>
            <w:tcW w:w="6520" w:type="dxa"/>
            <w:vAlign w:val="center"/>
          </w:tcPr>
          <w:p w14:paraId="4C8E34BF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生長、發育、老化與死亡</w:t>
            </w:r>
          </w:p>
        </w:tc>
      </w:tr>
      <w:tr w:rsidR="0036121C" w14:paraId="0BFDF241" w14:textId="77777777" w:rsidTr="0036121C">
        <w:tc>
          <w:tcPr>
            <w:tcW w:w="702" w:type="dxa"/>
            <w:vAlign w:val="center"/>
          </w:tcPr>
          <w:p w14:paraId="0835289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14:paraId="7A6213AC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1F9994E3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安全生活與運動安全</w:t>
            </w:r>
          </w:p>
        </w:tc>
        <w:tc>
          <w:tcPr>
            <w:tcW w:w="6520" w:type="dxa"/>
            <w:vAlign w:val="center"/>
          </w:tcPr>
          <w:p w14:paraId="61F1956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安全教育與急救、藥物教育</w:t>
            </w:r>
          </w:p>
        </w:tc>
      </w:tr>
      <w:tr w:rsidR="0036121C" w14:paraId="58E0274C" w14:textId="77777777" w:rsidTr="0036121C">
        <w:tc>
          <w:tcPr>
            <w:tcW w:w="702" w:type="dxa"/>
            <w:vAlign w:val="center"/>
          </w:tcPr>
          <w:p w14:paraId="28436CE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14:paraId="3DB67440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1B967EEA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群體健康與運動</w:t>
            </w: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參與</w:t>
            </w:r>
          </w:p>
        </w:tc>
        <w:tc>
          <w:tcPr>
            <w:tcW w:w="6520" w:type="dxa"/>
            <w:vAlign w:val="center"/>
          </w:tcPr>
          <w:p w14:paraId="778F8B4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健康環境</w:t>
            </w:r>
          </w:p>
        </w:tc>
      </w:tr>
      <w:tr w:rsidR="0036121C" w14:paraId="0C4D676D" w14:textId="77777777" w:rsidTr="0036121C">
        <w:tc>
          <w:tcPr>
            <w:tcW w:w="702" w:type="dxa"/>
            <w:vAlign w:val="center"/>
          </w:tcPr>
          <w:p w14:paraId="2A50611B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14:paraId="68AA221F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61EBECE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個人衛生與性教育身心健康與疾病預防</w:t>
            </w:r>
          </w:p>
        </w:tc>
        <w:tc>
          <w:tcPr>
            <w:tcW w:w="6520" w:type="dxa"/>
            <w:vAlign w:val="center"/>
          </w:tcPr>
          <w:p w14:paraId="32EB69F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個人衛生與保健、性教育</w:t>
            </w:r>
          </w:p>
        </w:tc>
      </w:tr>
      <w:tr w:rsidR="0036121C" w14:paraId="497815FB" w14:textId="77777777" w:rsidTr="0036121C">
        <w:tc>
          <w:tcPr>
            <w:tcW w:w="702" w:type="dxa"/>
            <w:vAlign w:val="center"/>
          </w:tcPr>
          <w:p w14:paraId="10857EA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14:paraId="6C581C56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0B440961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人、食物與健康消費</w:t>
            </w:r>
          </w:p>
        </w:tc>
        <w:tc>
          <w:tcPr>
            <w:tcW w:w="6520" w:type="dxa"/>
            <w:vAlign w:val="center"/>
          </w:tcPr>
          <w:p w14:paraId="4C2884B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人與食物、健康消費</w:t>
            </w:r>
          </w:p>
        </w:tc>
      </w:tr>
      <w:tr w:rsidR="0036121C" w14:paraId="6C83B93B" w14:textId="77777777" w:rsidTr="0036121C">
        <w:tc>
          <w:tcPr>
            <w:tcW w:w="702" w:type="dxa"/>
            <w:vAlign w:val="center"/>
          </w:tcPr>
          <w:p w14:paraId="1EF00C30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14:paraId="7A104448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5D187CDC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身心健康與疾</w:t>
            </w:r>
          </w:p>
          <w:p w14:paraId="0F7AE3C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病預防</w:t>
            </w:r>
          </w:p>
        </w:tc>
        <w:tc>
          <w:tcPr>
            <w:tcW w:w="6520" w:type="dxa"/>
            <w:vAlign w:val="center"/>
          </w:tcPr>
          <w:p w14:paraId="7880492A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健康心理、健康促進與疾病預防</w:t>
            </w:r>
          </w:p>
        </w:tc>
      </w:tr>
      <w:tr w:rsidR="0036121C" w14:paraId="24C6BCD3" w14:textId="77777777" w:rsidTr="0036121C">
        <w:tc>
          <w:tcPr>
            <w:tcW w:w="702" w:type="dxa"/>
            <w:vAlign w:val="center"/>
          </w:tcPr>
          <w:p w14:paraId="1465F8B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840" w:type="dxa"/>
            <w:vMerge w:val="restart"/>
            <w:vAlign w:val="center"/>
          </w:tcPr>
          <w:p w14:paraId="2702FD5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體育</w:t>
            </w:r>
          </w:p>
        </w:tc>
        <w:tc>
          <w:tcPr>
            <w:tcW w:w="2139" w:type="dxa"/>
            <w:vAlign w:val="center"/>
          </w:tcPr>
          <w:p w14:paraId="38BEA8CF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生長、發展與體適能</w:t>
            </w:r>
          </w:p>
        </w:tc>
        <w:tc>
          <w:tcPr>
            <w:tcW w:w="6520" w:type="dxa"/>
            <w:vAlign w:val="center"/>
          </w:tcPr>
          <w:p w14:paraId="055EE6BE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體適能</w:t>
            </w:r>
          </w:p>
        </w:tc>
      </w:tr>
      <w:tr w:rsidR="0036121C" w14:paraId="61B1978C" w14:textId="77777777" w:rsidTr="0036121C">
        <w:tc>
          <w:tcPr>
            <w:tcW w:w="702" w:type="dxa"/>
            <w:vAlign w:val="center"/>
          </w:tcPr>
          <w:p w14:paraId="7746AE29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14:paraId="6D944DFB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6D809662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安全生活與運動安全</w:t>
            </w:r>
          </w:p>
        </w:tc>
        <w:tc>
          <w:tcPr>
            <w:tcW w:w="6520" w:type="dxa"/>
            <w:vAlign w:val="center"/>
          </w:tcPr>
          <w:p w14:paraId="791625B5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運動傷害與防護、防衛性運動</w:t>
            </w:r>
          </w:p>
        </w:tc>
      </w:tr>
      <w:tr w:rsidR="0036121C" w14:paraId="37109EAF" w14:textId="77777777" w:rsidTr="0036121C">
        <w:tc>
          <w:tcPr>
            <w:tcW w:w="702" w:type="dxa"/>
            <w:vAlign w:val="center"/>
          </w:tcPr>
          <w:p w14:paraId="750FCD5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9</w:t>
            </w:r>
          </w:p>
        </w:tc>
        <w:tc>
          <w:tcPr>
            <w:tcW w:w="840" w:type="dxa"/>
            <w:vMerge/>
            <w:vAlign w:val="center"/>
          </w:tcPr>
          <w:p w14:paraId="7A46847C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E557444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群體健康與運動參與</w:t>
            </w:r>
          </w:p>
        </w:tc>
        <w:tc>
          <w:tcPr>
            <w:tcW w:w="6520" w:type="dxa"/>
            <w:vAlign w:val="center"/>
          </w:tcPr>
          <w:p w14:paraId="2F5A5236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運動知識、水域休閒運動、戶外休閒運動、其他休閒運動</w:t>
            </w:r>
          </w:p>
        </w:tc>
      </w:tr>
      <w:tr w:rsidR="0036121C" w14:paraId="26A51040" w14:textId="77777777" w:rsidTr="0036121C">
        <w:tc>
          <w:tcPr>
            <w:tcW w:w="702" w:type="dxa"/>
            <w:vAlign w:val="center"/>
          </w:tcPr>
          <w:p w14:paraId="13A47AD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840" w:type="dxa"/>
            <w:vMerge/>
            <w:vAlign w:val="center"/>
          </w:tcPr>
          <w:p w14:paraId="280946B9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06EAFF07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挑戰類型運動</w:t>
            </w:r>
          </w:p>
        </w:tc>
        <w:tc>
          <w:tcPr>
            <w:tcW w:w="6520" w:type="dxa"/>
            <w:vAlign w:val="center"/>
          </w:tcPr>
          <w:p w14:paraId="00465E87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田徑、游泳</w:t>
            </w:r>
          </w:p>
        </w:tc>
      </w:tr>
      <w:tr w:rsidR="0036121C" w14:paraId="711EE18B" w14:textId="77777777" w:rsidTr="0036121C">
        <w:tc>
          <w:tcPr>
            <w:tcW w:w="702" w:type="dxa"/>
            <w:vAlign w:val="center"/>
          </w:tcPr>
          <w:p w14:paraId="256D2B5D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840" w:type="dxa"/>
            <w:vMerge/>
            <w:vAlign w:val="center"/>
          </w:tcPr>
          <w:p w14:paraId="682554E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7B3795CE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競爭類型運動</w:t>
            </w:r>
          </w:p>
        </w:tc>
        <w:tc>
          <w:tcPr>
            <w:tcW w:w="6520" w:type="dxa"/>
            <w:vAlign w:val="center"/>
          </w:tcPr>
          <w:p w14:paraId="1E7B0942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網/牆性球類運動、陣地攻守性球類運動、標的性球類運動、守備/跑分性球類運動</w:t>
            </w:r>
          </w:p>
        </w:tc>
      </w:tr>
      <w:tr w:rsidR="0036121C" w14:paraId="4D73622E" w14:textId="77777777" w:rsidTr="0036121C">
        <w:tc>
          <w:tcPr>
            <w:tcW w:w="702" w:type="dxa"/>
            <w:vAlign w:val="center"/>
          </w:tcPr>
          <w:p w14:paraId="48BF9705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840" w:type="dxa"/>
            <w:vMerge/>
            <w:vAlign w:val="center"/>
          </w:tcPr>
          <w:p w14:paraId="791168AA" w14:textId="77777777" w:rsidR="0036121C" w:rsidRDefault="0036121C" w:rsidP="00361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39" w:type="dxa"/>
            <w:vAlign w:val="center"/>
          </w:tcPr>
          <w:p w14:paraId="2BE93766" w14:textId="77777777" w:rsidR="0036121C" w:rsidRDefault="0036121C" w:rsidP="0036121C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★</w:t>
            </w:r>
            <w:r>
              <w:rPr>
                <w:rFonts w:ascii="標楷體" w:eastAsia="標楷體" w:hAnsi="標楷體" w:cs="標楷體"/>
              </w:rPr>
              <w:t>表現類型運動</w:t>
            </w:r>
          </w:p>
        </w:tc>
        <w:tc>
          <w:tcPr>
            <w:tcW w:w="6520" w:type="dxa"/>
            <w:vAlign w:val="center"/>
          </w:tcPr>
          <w:p w14:paraId="2CFEFE6D" w14:textId="77777777" w:rsidR="0036121C" w:rsidRDefault="0036121C" w:rsidP="0036121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體操、舞蹈、民俗運動</w:t>
            </w:r>
          </w:p>
        </w:tc>
      </w:tr>
    </w:tbl>
    <w:p w14:paraId="5E8A5C98" w14:textId="77777777" w:rsidR="0036121C" w:rsidRDefault="0036121C" w:rsidP="0036121C">
      <w:pPr>
        <w:widowControl/>
        <w:rPr>
          <w:rFonts w:ascii="標楷體" w:eastAsia="標楷體" w:hAnsi="標楷體" w:cs="標楷體"/>
        </w:rPr>
      </w:pPr>
    </w:p>
    <w:p w14:paraId="6EC0CBBE" w14:textId="7287DED5" w:rsidR="009F7AA0" w:rsidRPr="0036121C" w:rsidRDefault="009F7AA0" w:rsidP="00B409C5">
      <w:pPr>
        <w:spacing w:line="480" w:lineRule="auto"/>
        <w:rPr>
          <w:rFonts w:ascii="標楷體" w:eastAsia="標楷體" w:hAnsi="標楷體"/>
          <w:bCs/>
          <w:color w:val="000000" w:themeColor="text1"/>
          <w:szCs w:val="28"/>
        </w:rPr>
      </w:pPr>
    </w:p>
    <w:sectPr w:rsidR="009F7AA0" w:rsidRPr="0036121C">
      <w:footerReference w:type="default" r:id="rId9"/>
      <w:pgSz w:w="11906" w:h="16838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AC86" w14:textId="77777777" w:rsidR="0001384E" w:rsidRDefault="0001384E" w:rsidP="00A24277">
      <w:r>
        <w:separator/>
      </w:r>
    </w:p>
  </w:endnote>
  <w:endnote w:type="continuationSeparator" w:id="0">
    <w:p w14:paraId="751797F9" w14:textId="77777777" w:rsidR="0001384E" w:rsidRDefault="0001384E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23E8" w14:textId="6DB13E89" w:rsidR="00C57997" w:rsidRDefault="00C579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A0B1A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 xml:space="preserve"> 21 -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05143" w14:textId="77777777" w:rsidR="0001384E" w:rsidRDefault="0001384E" w:rsidP="00A24277">
      <w:r>
        <w:separator/>
      </w:r>
    </w:p>
  </w:footnote>
  <w:footnote w:type="continuationSeparator" w:id="0">
    <w:p w14:paraId="4E80B388" w14:textId="77777777" w:rsidR="0001384E" w:rsidRDefault="0001384E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6"/>
    <w:rsid w:val="00006C8F"/>
    <w:rsid w:val="00011A09"/>
    <w:rsid w:val="0001384E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EC6"/>
    <w:rsid w:val="000A0DA8"/>
    <w:rsid w:val="000A31DA"/>
    <w:rsid w:val="000B0A86"/>
    <w:rsid w:val="000B231A"/>
    <w:rsid w:val="000B40BB"/>
    <w:rsid w:val="000D0D56"/>
    <w:rsid w:val="0010201A"/>
    <w:rsid w:val="00104F50"/>
    <w:rsid w:val="00143927"/>
    <w:rsid w:val="001448BF"/>
    <w:rsid w:val="001448D7"/>
    <w:rsid w:val="00157463"/>
    <w:rsid w:val="001617DC"/>
    <w:rsid w:val="00166E3B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35DB"/>
    <w:rsid w:val="007449B3"/>
    <w:rsid w:val="00751F50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775DF"/>
    <w:rsid w:val="00885091"/>
    <w:rsid w:val="00891EC0"/>
    <w:rsid w:val="008934E6"/>
    <w:rsid w:val="00894203"/>
    <w:rsid w:val="008943FB"/>
    <w:rsid w:val="008D2162"/>
    <w:rsid w:val="009015A7"/>
    <w:rsid w:val="00903316"/>
    <w:rsid w:val="0091020D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7724"/>
    <w:rsid w:val="0096572C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0B1A"/>
    <w:rsid w:val="00BA4D6E"/>
    <w:rsid w:val="00BB7FE2"/>
    <w:rsid w:val="00BE0A55"/>
    <w:rsid w:val="00BF54CB"/>
    <w:rsid w:val="00C01F9B"/>
    <w:rsid w:val="00C11B8B"/>
    <w:rsid w:val="00C47515"/>
    <w:rsid w:val="00C57997"/>
    <w:rsid w:val="00C6393F"/>
    <w:rsid w:val="00C65905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A065-D509-412E-86A0-DA2483AD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王美善</cp:lastModifiedBy>
  <cp:revision>2</cp:revision>
  <cp:lastPrinted>2021-09-29T02:01:00Z</cp:lastPrinted>
  <dcterms:created xsi:type="dcterms:W3CDTF">2021-10-06T08:07:00Z</dcterms:created>
  <dcterms:modified xsi:type="dcterms:W3CDTF">2021-10-06T08:07:00Z</dcterms:modified>
</cp:coreProperties>
</file>